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80" w:beforeAutospacing="0" w:after="240" w:afterAutospacing="0" w:line="17" w:lineRule="atLeast"/>
        <w:ind w:left="0" w:right="0"/>
        <w:jc w:val="center"/>
      </w:pPr>
      <w:r>
        <w:rPr>
          <w:rFonts w:hint="eastAsia"/>
          <w:color w:val="333333"/>
          <w:lang w:eastAsia="zh-CN"/>
        </w:rPr>
        <w:t>材料科学与技术</w:t>
      </w:r>
      <w:r>
        <w:rPr>
          <w:color w:val="333333"/>
        </w:rPr>
        <w:t>学院固定资产入账和报销流程、材料及注意事项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eastAsia" w:ascii="Times New Roman" w:hAnsi="Times New Roman" w:eastAsia="宋体" w:cs="Times New Roman"/>
          <w:b/>
          <w:bCs/>
          <w:color w:val="333333"/>
          <w:sz w:val="19"/>
          <w:szCs w:val="19"/>
        </w:rPr>
        <w:t>采购流程：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1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登录“计划采购一体化管理系统”（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cg.nuaa.edu.cn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进行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采购申请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；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2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、采购申请得到审批后签订合同，采购产品；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3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、产品采购完成后，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登录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“计划采购一体化管理系统”（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cg.nuaa.edu.cn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进行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采购执行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”-“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采购结果录入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，然后回到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采购申请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”-“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采购查询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，进行采购确认后出现打印按钮，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打印审批表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4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、发票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请项目负责人签字同时至新材料楼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  <w:t>B331资产管理员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杜春兰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签字；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5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、扫描签字后的发票、签字盖章后的合同、拍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设备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照片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、设备铭牌照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；（用于入固定资产）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6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登录“国有资产综合管理信息系统”（gz.nuaa.edu.cn），点击“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  <w:lang w:eastAsia="zh-CN"/>
        </w:rPr>
        <w:t>资产入账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”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  <w:t>-“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  <w:lang w:val="en-US" w:eastAsia="zh-CN"/>
        </w:rPr>
        <w:t>发送入账申请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进行资产入账。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学院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科研办杜春兰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老师和国资处张慧艳老师通过后，到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资产入账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”-“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查询入账申请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打印入账单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eastAsia" w:ascii="Times New Roman" w:hAnsi="Times New Roman" w:eastAsia="宋体" w:cs="Times New Roman"/>
          <w:b/>
          <w:bCs/>
          <w:color w:val="333333"/>
          <w:sz w:val="19"/>
          <w:szCs w:val="19"/>
        </w:rPr>
        <w:t>财务报销材料：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1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、报销预约单，项目负责人签字；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2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、发票，项目负责人签字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eastAsia="zh-CN"/>
        </w:rPr>
        <w:t>，资产管理员杜春兰老师签字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3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、合同；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4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、采购审批表；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5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、如果是分批付款，还需到财务处网站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下载专区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下载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333333"/>
          <w:sz w:val="18"/>
          <w:szCs w:val="18"/>
        </w:rPr>
        <w:t>南航合同分批付款情况表</w:t>
      </w: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”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6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、入账单。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default" w:ascii="Times New Roman" w:hAnsi="Times New Roman" w:eastAsia="宋体" w:cs="Times New Roman"/>
          <w:color w:val="333333"/>
          <w:sz w:val="18"/>
          <w:szCs w:val="18"/>
          <w:lang w:val="en-US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eastAsia" w:ascii="Times New Roman" w:hAnsi="Times New Roman" w:eastAsia="宋体" w:cs="Times New Roman"/>
          <w:b/>
          <w:bCs/>
          <w:color w:val="333333"/>
          <w:sz w:val="19"/>
          <w:szCs w:val="19"/>
        </w:rPr>
        <w:t>注意事项：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Times New Roman" w:hAnsi="Times New Roman" w:eastAsia="宋体" w:cs="Times New Roman"/>
          <w:color w:val="333333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、一定要先采购申请，然后签订合同，再执行采购开发票，三者日期先后顺序不能颠倒。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  <w:t>2、提交采购申请的设备金额务必大于等于设备实际购买金额。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sz w:val="18"/>
          <w:szCs w:val="1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、入固定资产填写时，</w:t>
      </w:r>
      <w:r>
        <w:rPr>
          <w:rFonts w:hint="eastAsia" w:ascii="Times New Roman" w:hAnsi="Times New Roman" w:eastAsia="宋体" w:cs="Times New Roman"/>
          <w:b/>
          <w:bCs/>
          <w:color w:val="7030A0"/>
          <w:sz w:val="18"/>
          <w:szCs w:val="18"/>
        </w:rPr>
        <w:t>单价和验收总价的单位是元，保留小数点后</w:t>
      </w:r>
      <w:r>
        <w:rPr>
          <w:rFonts w:hint="default" w:ascii="Times New Roman" w:hAnsi="Times New Roman" w:eastAsia="宋体" w:cs="Times New Roman"/>
          <w:b/>
          <w:bCs/>
          <w:color w:val="7030A0"/>
          <w:sz w:val="18"/>
          <w:szCs w:val="18"/>
          <w:lang w:val="en-US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7030A0"/>
          <w:sz w:val="18"/>
          <w:szCs w:val="18"/>
        </w:rPr>
        <w:t>位</w:t>
      </w:r>
      <w:r>
        <w:rPr>
          <w:rFonts w:hint="eastAsia" w:ascii="Times New Roman" w:hAnsi="Times New Roman" w:eastAsia="宋体" w:cs="Times New Roman"/>
          <w:color w:val="333333"/>
          <w:sz w:val="18"/>
          <w:szCs w:val="18"/>
        </w:rPr>
        <w:t>。两个发票号的话，中间用逗号或分号隔开。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94B36"/>
    <w:rsid w:val="786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last-child1"/>
    <w:basedOn w:val="5"/>
    <w:uiPriority w:val="0"/>
    <w:rPr>
      <w:color w:val="000000"/>
    </w:rPr>
  </w:style>
  <w:style w:type="character" w:customStyle="1" w:styleId="14">
    <w:name w:val="item-name"/>
    <w:basedOn w:val="5"/>
    <w:uiPriority w:val="0"/>
    <w:rPr>
      <w:bdr w:val="none" w:color="auto" w:sz="0" w:space="0"/>
    </w:rPr>
  </w:style>
  <w:style w:type="character" w:customStyle="1" w:styleId="15">
    <w:name w:val="item-name1"/>
    <w:basedOn w:val="5"/>
    <w:uiPriority w:val="0"/>
    <w:rPr>
      <w:bdr w:val="none" w:color="auto" w:sz="0" w:space="0"/>
    </w:rPr>
  </w:style>
  <w:style w:type="character" w:customStyle="1" w:styleId="16">
    <w:name w:val="first-child"/>
    <w:basedOn w:val="5"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2021-03-31T03:10:00Z</dcterms:created>
  <dc:creator>Lenovo</dc:creator>
  <cp:lastModifiedBy>Lenovo</cp:lastModifiedBy>
  <dcterms:modified xsi:type="dcterms:W3CDTF">2021-03-31T03:23:02Z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7271B44855F14C139E643F24D2678F54</vt:lpwstr>
  </property>
</Properties>
</file>