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85" w:rsidRPr="006B4E49" w:rsidRDefault="00895B85" w:rsidP="008D161E">
      <w:pPr>
        <w:widowControl/>
        <w:spacing w:line="360" w:lineRule="auto"/>
        <w:jc w:val="center"/>
        <w:rPr>
          <w:rFonts w:ascii="黑体" w:eastAsia="黑体" w:hAnsi="黑体" w:cs="宋体" w:hint="eastAsia"/>
          <w:b/>
          <w:color w:val="333333"/>
          <w:kern w:val="0"/>
          <w:sz w:val="28"/>
          <w:szCs w:val="28"/>
        </w:rPr>
      </w:pPr>
      <w:r w:rsidRPr="006B4E49">
        <w:rPr>
          <w:rFonts w:ascii="黑体" w:eastAsia="黑体" w:hAnsi="黑体" w:cs="宋体"/>
          <w:b/>
          <w:color w:val="333333"/>
          <w:kern w:val="0"/>
          <w:sz w:val="28"/>
          <w:szCs w:val="28"/>
        </w:rPr>
        <w:t xml:space="preserve">《中国专利奖评奖办法》 </w:t>
      </w:r>
    </w:p>
    <w:p w:rsidR="00895B85" w:rsidRPr="006B4E49" w:rsidRDefault="00895B85" w:rsidP="008D161E">
      <w:pPr>
        <w:widowControl/>
        <w:spacing w:line="360" w:lineRule="auto"/>
        <w:jc w:val="center"/>
        <w:rPr>
          <w:rFonts w:ascii="黑体" w:eastAsia="黑体" w:hAnsi="黑体" w:cs="宋体"/>
          <w:color w:val="000000"/>
          <w:kern w:val="0"/>
          <w:sz w:val="28"/>
          <w:szCs w:val="28"/>
        </w:rPr>
      </w:pPr>
      <w:r w:rsidRPr="006B4E49">
        <w:rPr>
          <w:rFonts w:ascii="黑体" w:eastAsia="黑体" w:hAnsi="黑体" w:cs="宋体"/>
          <w:color w:val="000000"/>
          <w:kern w:val="0"/>
          <w:sz w:val="28"/>
          <w:szCs w:val="28"/>
        </w:rPr>
        <w:t>知</w:t>
      </w:r>
      <w:proofErr w:type="gramStart"/>
      <w:r w:rsidRPr="006B4E49">
        <w:rPr>
          <w:rFonts w:ascii="黑体" w:eastAsia="黑体" w:hAnsi="黑体" w:cs="宋体"/>
          <w:color w:val="000000"/>
          <w:kern w:val="0"/>
          <w:sz w:val="28"/>
          <w:szCs w:val="28"/>
        </w:rPr>
        <w:t>办发管字</w:t>
      </w:r>
      <w:proofErr w:type="gramEnd"/>
      <w:r w:rsidRPr="006B4E49">
        <w:rPr>
          <w:rFonts w:ascii="黑体" w:eastAsia="黑体" w:hAnsi="黑体" w:cs="宋体"/>
          <w:color w:val="000000"/>
          <w:kern w:val="0"/>
          <w:sz w:val="28"/>
          <w:szCs w:val="28"/>
        </w:rPr>
        <w:t>〔2018〕20号</w:t>
      </w:r>
    </w:p>
    <w:p w:rsidR="00512EC5" w:rsidRPr="006B4E49" w:rsidRDefault="00512EC5" w:rsidP="008D161E">
      <w:pPr>
        <w:widowControl/>
        <w:spacing w:line="360" w:lineRule="auto"/>
        <w:jc w:val="center"/>
        <w:rPr>
          <w:rFonts w:ascii="黑体" w:eastAsia="黑体" w:hAnsi="黑体" w:cs="宋体"/>
          <w:color w:val="FF0000"/>
          <w:kern w:val="0"/>
          <w:sz w:val="28"/>
          <w:szCs w:val="28"/>
        </w:rPr>
      </w:pPr>
      <w:r w:rsidRPr="006B4E49">
        <w:rPr>
          <w:rFonts w:ascii="黑体" w:eastAsia="黑体" w:hAnsi="黑体" w:cs="宋体" w:hint="eastAsia"/>
          <w:color w:val="FF0000"/>
          <w:kern w:val="0"/>
          <w:sz w:val="28"/>
          <w:szCs w:val="28"/>
        </w:rPr>
        <w:t>南</w:t>
      </w:r>
      <w:r w:rsidR="00833ECE" w:rsidRPr="006B4E49">
        <w:rPr>
          <w:rFonts w:ascii="黑体" w:eastAsia="黑体" w:hAnsi="黑体" w:cs="宋体" w:hint="eastAsia"/>
          <w:color w:val="FF0000"/>
          <w:kern w:val="0"/>
          <w:sz w:val="28"/>
          <w:szCs w:val="28"/>
        </w:rPr>
        <w:t xml:space="preserve"> </w:t>
      </w:r>
      <w:r w:rsidRPr="006B4E49">
        <w:rPr>
          <w:rFonts w:ascii="黑体" w:eastAsia="黑体" w:hAnsi="黑体" w:cs="宋体" w:hint="eastAsia"/>
          <w:color w:val="FF0000"/>
          <w:kern w:val="0"/>
          <w:sz w:val="28"/>
          <w:szCs w:val="28"/>
        </w:rPr>
        <w:t>航</w:t>
      </w:r>
      <w:r w:rsidR="00833ECE" w:rsidRPr="006B4E49">
        <w:rPr>
          <w:rFonts w:ascii="黑体" w:eastAsia="黑体" w:hAnsi="黑体" w:cs="宋体" w:hint="eastAsia"/>
          <w:color w:val="FF0000"/>
          <w:kern w:val="0"/>
          <w:sz w:val="28"/>
          <w:szCs w:val="28"/>
        </w:rPr>
        <w:t xml:space="preserve"> </w:t>
      </w:r>
      <w:r w:rsidRPr="006B4E49">
        <w:rPr>
          <w:rFonts w:ascii="黑体" w:eastAsia="黑体" w:hAnsi="黑体" w:cs="宋体" w:hint="eastAsia"/>
          <w:color w:val="FF0000"/>
          <w:kern w:val="0"/>
          <w:sz w:val="28"/>
          <w:szCs w:val="28"/>
        </w:rPr>
        <w:t>解</w:t>
      </w:r>
      <w:r w:rsidR="00833ECE" w:rsidRPr="006B4E49">
        <w:rPr>
          <w:rFonts w:ascii="黑体" w:eastAsia="黑体" w:hAnsi="黑体" w:cs="宋体" w:hint="eastAsia"/>
          <w:color w:val="FF0000"/>
          <w:kern w:val="0"/>
          <w:sz w:val="28"/>
          <w:szCs w:val="28"/>
        </w:rPr>
        <w:t xml:space="preserve"> </w:t>
      </w:r>
      <w:r w:rsidRPr="006B4E49">
        <w:rPr>
          <w:rFonts w:ascii="黑体" w:eastAsia="黑体" w:hAnsi="黑体" w:cs="宋体" w:hint="eastAsia"/>
          <w:color w:val="FF0000"/>
          <w:kern w:val="0"/>
          <w:sz w:val="28"/>
          <w:szCs w:val="28"/>
        </w:rPr>
        <w:t>读</w:t>
      </w:r>
    </w:p>
    <w:p w:rsidR="00DF6F6F" w:rsidRPr="008D161E" w:rsidRDefault="00DF6F6F" w:rsidP="008D161E">
      <w:pPr>
        <w:widowControl/>
        <w:spacing w:line="360" w:lineRule="auto"/>
        <w:jc w:val="left"/>
        <w:rPr>
          <w:rFonts w:asciiTheme="minorEastAsia" w:hAnsiTheme="minorEastAsia" w:cs="宋体"/>
          <w:color w:val="00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第一条 评奖宗旨</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2B3F56" w:rsidRPr="008D161E" w:rsidRDefault="002B3F56" w:rsidP="008D161E">
      <w:pPr>
        <w:widowControl/>
        <w:spacing w:line="360" w:lineRule="auto"/>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解读：</w:t>
      </w:r>
    </w:p>
    <w:p w:rsidR="002B3F56" w:rsidRPr="008D161E" w:rsidRDefault="002B3F56" w:rsidP="008D161E">
      <w:pPr>
        <w:widowControl/>
        <w:spacing w:line="360" w:lineRule="auto"/>
        <w:ind w:firstLine="36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中国专利最高荣誉奖项，得到联合国世界知识产权组织（WIPO）认可，国内外影响较大，与中国驰名商标、国家科技进步奖同属国家级荣誉；</w:t>
      </w:r>
    </w:p>
    <w:p w:rsidR="002B3F56" w:rsidRPr="008D161E" w:rsidRDefault="002B3F56" w:rsidP="008D161E">
      <w:pPr>
        <w:widowControl/>
        <w:spacing w:line="360" w:lineRule="auto"/>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 xml:space="preserve">    获中国专利奖对专利产品科技含量和品质起强大权威支持作用，极力提升其市场竞争力；</w:t>
      </w:r>
    </w:p>
    <w:p w:rsidR="002B3F56" w:rsidRPr="008D161E" w:rsidRDefault="002B3F56" w:rsidP="008D161E">
      <w:pPr>
        <w:widowControl/>
        <w:spacing w:line="360" w:lineRule="auto"/>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 xml:space="preserve">    各级政府对获得中国专利奖的单位或个人配置丰厚的奖金。江苏奖励：20-100万，单位奖励：5-10万。</w:t>
      </w:r>
    </w:p>
    <w:p w:rsidR="002B3F56" w:rsidRPr="006B4E49" w:rsidRDefault="002B3F56" w:rsidP="008D161E">
      <w:pPr>
        <w:widowControl/>
        <w:spacing w:line="360" w:lineRule="auto"/>
        <w:jc w:val="left"/>
        <w:rPr>
          <w:rFonts w:ascii="黑体" w:eastAsia="黑体" w:hAnsi="黑体" w:cs="宋体"/>
          <w:b/>
          <w:color w:val="00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第二条 评奖周期</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国家知识产权局与世界知识产权组织共同开展中国专利奖评选工作，每年举办一届。</w:t>
      </w:r>
    </w:p>
    <w:p w:rsidR="002B3F56" w:rsidRPr="008D161E" w:rsidRDefault="00793899" w:rsidP="008D161E">
      <w:pPr>
        <w:widowControl/>
        <w:spacing w:line="360" w:lineRule="auto"/>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解读：</w:t>
      </w:r>
    </w:p>
    <w:p w:rsidR="00DD1B4B" w:rsidRPr="008D161E" w:rsidRDefault="00DD1B4B"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江苏省对</w:t>
      </w:r>
      <w:proofErr w:type="gramStart"/>
      <w:r w:rsidRPr="008D161E">
        <w:rPr>
          <w:rFonts w:asciiTheme="minorEastAsia" w:hAnsiTheme="minorEastAsia" w:cs="宋体" w:hint="eastAsia"/>
          <w:color w:val="FF0000"/>
          <w:kern w:val="0"/>
          <w:szCs w:val="21"/>
        </w:rPr>
        <w:t>标中国</w:t>
      </w:r>
      <w:proofErr w:type="gramEnd"/>
      <w:r w:rsidRPr="008D161E">
        <w:rPr>
          <w:rFonts w:asciiTheme="minorEastAsia" w:hAnsiTheme="minorEastAsia" w:cs="宋体" w:hint="eastAsia"/>
          <w:color w:val="FF0000"/>
          <w:kern w:val="0"/>
          <w:szCs w:val="21"/>
        </w:rPr>
        <w:t>专利奖设立江苏省专利项目奖，每2年举办一届，一般为奇数年申报。其中江苏省</w:t>
      </w:r>
      <w:r w:rsidRPr="008D161E">
        <w:rPr>
          <w:rFonts w:asciiTheme="minorEastAsia" w:hAnsiTheme="minorEastAsia" w:cs="宋体"/>
          <w:color w:val="FF0000"/>
          <w:kern w:val="0"/>
          <w:szCs w:val="21"/>
        </w:rPr>
        <w:t>专利</w:t>
      </w:r>
      <w:r w:rsidRPr="008D161E">
        <w:rPr>
          <w:rFonts w:asciiTheme="minorEastAsia" w:hAnsiTheme="minorEastAsia" w:cs="宋体" w:hint="eastAsia"/>
          <w:color w:val="FF0000"/>
          <w:kern w:val="0"/>
          <w:szCs w:val="21"/>
        </w:rPr>
        <w:t>项目</w:t>
      </w:r>
      <w:r w:rsidRPr="008D161E">
        <w:rPr>
          <w:rFonts w:asciiTheme="minorEastAsia" w:hAnsiTheme="minorEastAsia" w:cs="宋体"/>
          <w:color w:val="FF0000"/>
          <w:kern w:val="0"/>
          <w:szCs w:val="21"/>
        </w:rPr>
        <w:t>奖</w:t>
      </w:r>
      <w:r w:rsidRPr="008D161E">
        <w:rPr>
          <w:rFonts w:asciiTheme="minorEastAsia" w:hAnsiTheme="minorEastAsia" w:cs="宋体" w:hint="eastAsia"/>
          <w:color w:val="FF0000"/>
          <w:kern w:val="0"/>
          <w:szCs w:val="21"/>
        </w:rPr>
        <w:t>金奖10项，优秀奖40-50项。</w:t>
      </w:r>
    </w:p>
    <w:p w:rsidR="00793899" w:rsidRPr="008D161E" w:rsidRDefault="00793899" w:rsidP="008D161E">
      <w:pPr>
        <w:widowControl/>
        <w:spacing w:line="360" w:lineRule="auto"/>
        <w:jc w:val="left"/>
        <w:rPr>
          <w:rFonts w:asciiTheme="minorEastAsia" w:hAnsiTheme="minorEastAsia" w:cs="宋体"/>
          <w:b/>
          <w:color w:val="00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第三条 奖项设置</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中国专利奖设中国专利金奖、中国专利银奖、中国专利优秀奖、中国外观设计金奖、中国外观设计银奖、中国外观设计优秀奖。</w:t>
      </w:r>
    </w:p>
    <w:p w:rsidR="00895B85" w:rsidRPr="008D161E" w:rsidRDefault="00895B85" w:rsidP="008D161E">
      <w:pPr>
        <w:widowControl/>
        <w:spacing w:line="360" w:lineRule="auto"/>
        <w:ind w:firstLine="360"/>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2B3F56" w:rsidRPr="008D161E" w:rsidRDefault="002B3F56" w:rsidP="008D161E">
      <w:pPr>
        <w:spacing w:line="360" w:lineRule="auto"/>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解读：</w:t>
      </w:r>
    </w:p>
    <w:p w:rsidR="002B3F56" w:rsidRPr="008D161E" w:rsidRDefault="002B3F56" w:rsidP="008D161E">
      <w:pPr>
        <w:spacing w:line="360" w:lineRule="auto"/>
        <w:ind w:firstLineChars="200" w:firstLine="420"/>
        <w:rPr>
          <w:rFonts w:asciiTheme="minorEastAsia" w:hAnsiTheme="minorEastAsia"/>
          <w:color w:val="000000"/>
          <w:szCs w:val="21"/>
        </w:rPr>
      </w:pPr>
      <w:r w:rsidRPr="008D161E">
        <w:rPr>
          <w:rFonts w:asciiTheme="minorEastAsia" w:hAnsiTheme="minorEastAsia" w:hint="eastAsia"/>
          <w:color w:val="FF0000"/>
          <w:szCs w:val="21"/>
        </w:rPr>
        <w:lastRenderedPageBreak/>
        <w:t>中国专利金奖20项、中国专利银奖60项、中国专利</w:t>
      </w:r>
      <w:proofErr w:type="gramStart"/>
      <w:r w:rsidRPr="008D161E">
        <w:rPr>
          <w:rFonts w:asciiTheme="minorEastAsia" w:hAnsiTheme="minorEastAsia" w:hint="eastAsia"/>
          <w:color w:val="FF0000"/>
          <w:szCs w:val="21"/>
        </w:rPr>
        <w:t>优秀奖约</w:t>
      </w:r>
      <w:proofErr w:type="gramEnd"/>
      <w:r w:rsidRPr="008D161E">
        <w:rPr>
          <w:rFonts w:asciiTheme="minorEastAsia" w:hAnsiTheme="minorEastAsia" w:hint="eastAsia"/>
          <w:color w:val="FF0000"/>
          <w:szCs w:val="21"/>
        </w:rPr>
        <w:t>600-700项。</w:t>
      </w:r>
    </w:p>
    <w:p w:rsidR="002B3F56" w:rsidRPr="008D161E" w:rsidRDefault="002B3F56" w:rsidP="008D161E">
      <w:pPr>
        <w:widowControl/>
        <w:spacing w:line="360" w:lineRule="auto"/>
        <w:jc w:val="left"/>
        <w:rPr>
          <w:rFonts w:asciiTheme="minorEastAsia" w:hAnsiTheme="minorEastAsia" w:cs="宋体"/>
          <w:b/>
          <w:color w:val="00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第四条 评审组织</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2B3F56" w:rsidRPr="008D161E" w:rsidRDefault="002B3F56" w:rsidP="008D161E">
      <w:pPr>
        <w:spacing w:line="360" w:lineRule="auto"/>
        <w:rPr>
          <w:rFonts w:asciiTheme="minorEastAsia" w:hAnsiTheme="minorEastAsia"/>
          <w:b/>
          <w:color w:val="FF0000"/>
          <w:szCs w:val="21"/>
        </w:rPr>
      </w:pPr>
      <w:r w:rsidRPr="008D161E">
        <w:rPr>
          <w:rFonts w:asciiTheme="minorEastAsia" w:hAnsiTheme="minorEastAsia" w:hint="eastAsia"/>
          <w:b/>
          <w:color w:val="FF0000"/>
          <w:szCs w:val="21"/>
        </w:rPr>
        <w:t>解读：</w:t>
      </w:r>
    </w:p>
    <w:p w:rsidR="002B3F56" w:rsidRPr="008D161E" w:rsidRDefault="002B3F56" w:rsidP="008D161E">
      <w:pPr>
        <w:spacing w:line="360" w:lineRule="auto"/>
        <w:ind w:firstLine="360"/>
        <w:rPr>
          <w:rFonts w:asciiTheme="minorEastAsia" w:hAnsiTheme="minorEastAsia"/>
          <w:color w:val="FF0000"/>
          <w:szCs w:val="21"/>
        </w:rPr>
      </w:pPr>
      <w:r w:rsidRPr="008D161E">
        <w:rPr>
          <w:rFonts w:asciiTheme="minorEastAsia" w:hAnsiTheme="minorEastAsia" w:hint="eastAsia"/>
          <w:color w:val="FF0000"/>
          <w:szCs w:val="21"/>
        </w:rPr>
        <w:t>1．管理部门：知识产权局知识产权运动促进司</w:t>
      </w:r>
    </w:p>
    <w:p w:rsidR="002B3F56" w:rsidRPr="008D161E" w:rsidRDefault="002B3F56" w:rsidP="008D161E">
      <w:pPr>
        <w:spacing w:line="360" w:lineRule="auto"/>
        <w:ind w:firstLine="360"/>
        <w:rPr>
          <w:rFonts w:asciiTheme="minorEastAsia" w:hAnsiTheme="minorEastAsia"/>
          <w:color w:val="FF0000"/>
          <w:szCs w:val="21"/>
        </w:rPr>
      </w:pPr>
      <w:r w:rsidRPr="008D161E">
        <w:rPr>
          <w:rFonts w:asciiTheme="minorEastAsia" w:hAnsiTheme="minorEastAsia" w:hint="eastAsia"/>
          <w:color w:val="FF0000"/>
          <w:szCs w:val="21"/>
        </w:rPr>
        <w:t xml:space="preserve">2．中国专利奖评审委员会： </w:t>
      </w:r>
    </w:p>
    <w:p w:rsidR="002B3F56" w:rsidRPr="008D161E" w:rsidRDefault="002B3F56" w:rsidP="008D161E">
      <w:pPr>
        <w:spacing w:line="360" w:lineRule="auto"/>
        <w:ind w:firstLine="360"/>
        <w:rPr>
          <w:rFonts w:asciiTheme="minorEastAsia" w:hAnsiTheme="minorEastAsia"/>
          <w:color w:val="FF0000"/>
          <w:szCs w:val="21"/>
        </w:rPr>
      </w:pPr>
      <w:r w:rsidRPr="008D161E">
        <w:rPr>
          <w:rFonts w:asciiTheme="minorEastAsia" w:hAnsiTheme="minorEastAsia" w:hint="eastAsia"/>
          <w:color w:val="FF0000"/>
          <w:szCs w:val="21"/>
        </w:rPr>
        <w:t>2.1评审办公室；</w:t>
      </w:r>
    </w:p>
    <w:p w:rsidR="002B3F56" w:rsidRPr="008D161E" w:rsidRDefault="002B3F56" w:rsidP="008D161E">
      <w:pPr>
        <w:spacing w:line="360" w:lineRule="auto"/>
        <w:ind w:firstLine="360"/>
        <w:rPr>
          <w:rFonts w:asciiTheme="minorEastAsia" w:hAnsiTheme="minorEastAsia"/>
          <w:color w:val="FF0000"/>
          <w:szCs w:val="21"/>
        </w:rPr>
      </w:pPr>
      <w:r w:rsidRPr="008D161E">
        <w:rPr>
          <w:rFonts w:asciiTheme="minorEastAsia" w:hAnsiTheme="minorEastAsia" w:hint="eastAsia"/>
          <w:color w:val="FF0000"/>
          <w:szCs w:val="21"/>
        </w:rPr>
        <w:t>2.2质量组：由专利局实质审查部、实用新型部、外观设计部选派人员组成以下小组：材料组,机械组,光电组,电学组,化学组,通讯组,医药生物组,外观设计组；</w:t>
      </w:r>
    </w:p>
    <w:p w:rsidR="002B3F56" w:rsidRPr="008D161E" w:rsidRDefault="002B3F56" w:rsidP="008D161E">
      <w:pPr>
        <w:spacing w:line="360" w:lineRule="auto"/>
        <w:ind w:firstLine="360"/>
        <w:rPr>
          <w:rFonts w:asciiTheme="minorEastAsia" w:hAnsiTheme="minorEastAsia"/>
          <w:color w:val="FF0000"/>
          <w:szCs w:val="21"/>
        </w:rPr>
      </w:pPr>
      <w:r w:rsidRPr="008D161E">
        <w:rPr>
          <w:rFonts w:asciiTheme="minorEastAsia" w:hAnsiTheme="minorEastAsia" w:hint="eastAsia"/>
          <w:color w:val="FF0000"/>
          <w:szCs w:val="21"/>
        </w:rPr>
        <w:t>2.3管理组：高校、协会、省市知识产权局代表10-15人组成，一般都有行政职务</w:t>
      </w:r>
    </w:p>
    <w:p w:rsidR="002B3F56" w:rsidRPr="008D161E" w:rsidRDefault="002B3F56" w:rsidP="008D161E">
      <w:pPr>
        <w:spacing w:line="360" w:lineRule="auto"/>
        <w:ind w:firstLine="360"/>
        <w:rPr>
          <w:rFonts w:asciiTheme="minorEastAsia" w:hAnsiTheme="minorEastAsia"/>
          <w:color w:val="FF0000"/>
          <w:szCs w:val="21"/>
        </w:rPr>
      </w:pPr>
      <w:r w:rsidRPr="008D161E">
        <w:rPr>
          <w:rFonts w:asciiTheme="minorEastAsia" w:hAnsiTheme="minorEastAsia" w:hint="eastAsia"/>
          <w:color w:val="FF0000"/>
          <w:szCs w:val="21"/>
        </w:rPr>
        <w:t>2.4技术组：高校、学会、医院代表；一般优秀奖不经过技术组评审，银奖或金奖需要经过现场答辩，经技术组评审</w:t>
      </w:r>
    </w:p>
    <w:p w:rsidR="002B3F56" w:rsidRPr="008D161E" w:rsidRDefault="002B3F56" w:rsidP="008D161E">
      <w:pPr>
        <w:spacing w:line="360" w:lineRule="auto"/>
        <w:ind w:firstLine="360"/>
        <w:rPr>
          <w:rFonts w:asciiTheme="minorEastAsia" w:hAnsiTheme="minorEastAsia"/>
          <w:color w:val="FF000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第五条 评价指标及权重</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一、发明、实用新型专利</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（一）专利质量（25%）。评价：1.新颖性、创造性、实用性；2.文本质量。</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（二）技术先进性（25%）。评价：1.原创性及重要性；2.相比当前同类技术的优缺点；3.专利技术的通用性。</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（三）运用及保护措施和成效（35%）。评价：1.专利运用及保护措施；2.经济效益及市场份额。</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（四）社会效益及发展前景（15%）。评价：1.社会效益；2.行业影响力；3.政策适应性。</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二、外观设计专利</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（一）专利质量（25%）。评价：1.创新性和工业适用性；2.文本质量。</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（二）设计要点及理念的表达（25%）。评价：1.设计要点独特性；2.艺术性及象征性；3.功能性。</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lastRenderedPageBreak/>
        <w:t xml:space="preserve">　　（三）运用及保护措施和成效（35%）。评价：1.专利运用及保护措施；2.经济效益及市场份额。</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（四）社会效益及发展前景（15%）。评价：1.社会效益；2.发展前景。</w:t>
      </w:r>
    </w:p>
    <w:p w:rsidR="002B3F56" w:rsidRPr="008D161E" w:rsidRDefault="002B3F56" w:rsidP="008D161E">
      <w:pPr>
        <w:widowControl/>
        <w:spacing w:line="360" w:lineRule="auto"/>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解读:</w:t>
      </w:r>
    </w:p>
    <w:p w:rsidR="002B3F56" w:rsidRPr="008D161E" w:rsidRDefault="00CF3FA9" w:rsidP="008D161E">
      <w:pPr>
        <w:pStyle w:val="a6"/>
        <w:widowControl/>
        <w:numPr>
          <w:ilvl w:val="0"/>
          <w:numId w:val="1"/>
        </w:numPr>
        <w:spacing w:line="360" w:lineRule="auto"/>
        <w:ind w:firstLineChars="0"/>
        <w:jc w:val="left"/>
        <w:rPr>
          <w:rFonts w:asciiTheme="minorEastAsia" w:hAnsiTheme="minorEastAsia" w:cs="宋体"/>
          <w:color w:val="FF0000"/>
          <w:kern w:val="0"/>
          <w:szCs w:val="21"/>
        </w:rPr>
      </w:pPr>
      <w:r w:rsidRPr="008D161E">
        <w:rPr>
          <w:rFonts w:asciiTheme="minorEastAsia" w:hAnsiTheme="minorEastAsia" w:cs="宋体" w:hint="eastAsia"/>
          <w:b/>
          <w:bCs/>
          <w:color w:val="FF0000"/>
          <w:kern w:val="0"/>
          <w:szCs w:val="21"/>
        </w:rPr>
        <w:t>总体要求</w:t>
      </w:r>
    </w:p>
    <w:p w:rsidR="002B3F56" w:rsidRPr="008D161E" w:rsidRDefault="002B3F56"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1.1 专利权稳定，专利授权文本质量优秀；技术方案新颖，创新性强，技术水平高。</w:t>
      </w:r>
    </w:p>
    <w:p w:rsidR="002B3F56" w:rsidRPr="008D161E" w:rsidRDefault="002B3F56"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1.2 发明专利技术方案对解决本领域关键性、重要性技术问题的贡献程度大，对本领域技术进步和产业结构优化升级起到重要促进作用；实用新型专利技术方案对本领域技术革新、产品升级换代的贡献程度较大，对行业技术发展起到积极促进作用。</w:t>
      </w:r>
    </w:p>
    <w:p w:rsidR="002B3F56" w:rsidRPr="008D161E" w:rsidRDefault="002B3F56"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1.3 对提高产品市场竞争力发挥重要作用，取得突出经济或社会效益，具良好发展前景。</w:t>
      </w:r>
    </w:p>
    <w:p w:rsidR="002B3F56" w:rsidRPr="008D161E" w:rsidRDefault="002B3F56"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1.4 专利权人、实施单位对于该项专利权运用和保护措施积极主动，取得显著成效。</w:t>
      </w:r>
    </w:p>
    <w:p w:rsidR="00CF3FA9" w:rsidRPr="008D161E" w:rsidRDefault="00D91DD3" w:rsidP="008D161E">
      <w:pPr>
        <w:widowControl/>
        <w:spacing w:line="360" w:lineRule="auto"/>
        <w:ind w:firstLineChars="200" w:firstLine="422"/>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2</w:t>
      </w:r>
      <w:r w:rsidR="00207A18" w:rsidRPr="008D161E">
        <w:rPr>
          <w:rFonts w:asciiTheme="minorEastAsia" w:hAnsiTheme="minorEastAsia" w:cs="宋体" w:hint="eastAsia"/>
          <w:b/>
          <w:color w:val="FF0000"/>
          <w:kern w:val="0"/>
          <w:szCs w:val="21"/>
        </w:rPr>
        <w:t>．申报材料</w:t>
      </w:r>
    </w:p>
    <w:p w:rsidR="00CF3FA9"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207A18" w:rsidRPr="008D161E">
        <w:rPr>
          <w:rFonts w:asciiTheme="minorEastAsia" w:hAnsiTheme="minorEastAsia" w:cs="宋体" w:hint="eastAsia"/>
          <w:color w:val="FF0000"/>
          <w:kern w:val="0"/>
          <w:szCs w:val="21"/>
        </w:rPr>
        <w:t>.1</w:t>
      </w:r>
      <w:r w:rsidR="00CF3FA9" w:rsidRPr="008D161E">
        <w:rPr>
          <w:rFonts w:asciiTheme="minorEastAsia" w:hAnsiTheme="minorEastAsia" w:cs="宋体" w:hint="eastAsia"/>
          <w:color w:val="FF0000"/>
          <w:kern w:val="0"/>
          <w:szCs w:val="21"/>
        </w:rPr>
        <w:t>中国专利奖申报书</w:t>
      </w:r>
      <w:r w:rsidR="00207A18" w:rsidRPr="008D161E">
        <w:rPr>
          <w:rFonts w:asciiTheme="minorEastAsia" w:hAnsiTheme="minorEastAsia" w:cs="宋体" w:hint="eastAsia"/>
          <w:color w:val="FF0000"/>
          <w:kern w:val="0"/>
          <w:szCs w:val="21"/>
        </w:rPr>
        <w:t>：</w:t>
      </w:r>
      <w:r w:rsidR="00CF3FA9" w:rsidRPr="008D161E">
        <w:rPr>
          <w:rFonts w:asciiTheme="minorEastAsia" w:hAnsiTheme="minorEastAsia" w:cs="宋体" w:hint="eastAsia"/>
          <w:color w:val="FF0000"/>
          <w:kern w:val="0"/>
          <w:szCs w:val="21"/>
        </w:rPr>
        <w:t>包含申报项目基本信息、专利质量评价材料、技术先进性评价</w:t>
      </w:r>
      <w:r w:rsidR="00207A18" w:rsidRPr="008D161E">
        <w:rPr>
          <w:rFonts w:asciiTheme="minorEastAsia" w:hAnsiTheme="minorEastAsia" w:cs="宋体" w:hint="eastAsia"/>
          <w:color w:val="FF0000"/>
          <w:kern w:val="0"/>
          <w:szCs w:val="21"/>
        </w:rPr>
        <w:t>材料、运用及保护措施和成效评价材料、社会效益及发展前景评价材料</w:t>
      </w:r>
      <w:r w:rsidR="00CF3FA9" w:rsidRPr="008D161E">
        <w:rPr>
          <w:rFonts w:asciiTheme="minorEastAsia" w:hAnsiTheme="minorEastAsia" w:cs="宋体" w:hint="eastAsia"/>
          <w:color w:val="FF0000"/>
          <w:kern w:val="0"/>
          <w:szCs w:val="21"/>
        </w:rPr>
        <w:t>；</w:t>
      </w:r>
    </w:p>
    <w:p w:rsidR="00CF3FA9"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207A18" w:rsidRPr="008D161E">
        <w:rPr>
          <w:rFonts w:asciiTheme="minorEastAsia" w:hAnsiTheme="minorEastAsia" w:cs="宋体" w:hint="eastAsia"/>
          <w:color w:val="FF0000"/>
          <w:kern w:val="0"/>
          <w:szCs w:val="21"/>
        </w:rPr>
        <w:t>.2</w:t>
      </w:r>
      <w:r w:rsidR="00CF3FA9" w:rsidRPr="008D161E">
        <w:rPr>
          <w:rFonts w:asciiTheme="minorEastAsia" w:hAnsiTheme="minorEastAsia" w:cs="宋体" w:hint="eastAsia"/>
          <w:color w:val="FF0000"/>
          <w:kern w:val="0"/>
          <w:szCs w:val="21"/>
        </w:rPr>
        <w:t>申报主体资质材料及专利材料；</w:t>
      </w:r>
    </w:p>
    <w:p w:rsidR="00CF3FA9"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207A18" w:rsidRPr="008D161E">
        <w:rPr>
          <w:rFonts w:asciiTheme="minorEastAsia" w:hAnsiTheme="minorEastAsia" w:cs="宋体" w:hint="eastAsia"/>
          <w:color w:val="FF0000"/>
          <w:kern w:val="0"/>
          <w:szCs w:val="21"/>
        </w:rPr>
        <w:t>.3</w:t>
      </w:r>
      <w:r w:rsidR="00CF3FA9" w:rsidRPr="008D161E">
        <w:rPr>
          <w:rFonts w:asciiTheme="minorEastAsia" w:hAnsiTheme="minorEastAsia" w:cs="宋体" w:hint="eastAsia"/>
          <w:color w:val="FF0000"/>
          <w:kern w:val="0"/>
          <w:szCs w:val="21"/>
        </w:rPr>
        <w:t>辅助证明材料</w:t>
      </w:r>
      <w:r w:rsidR="00207A18" w:rsidRPr="008D161E">
        <w:rPr>
          <w:rFonts w:asciiTheme="minorEastAsia" w:hAnsiTheme="minorEastAsia" w:cs="宋体" w:hint="eastAsia"/>
          <w:color w:val="FF0000"/>
          <w:kern w:val="0"/>
          <w:szCs w:val="21"/>
        </w:rPr>
        <w:t>：</w:t>
      </w:r>
      <w:r w:rsidR="00CF3FA9" w:rsidRPr="008D161E">
        <w:rPr>
          <w:rFonts w:asciiTheme="minorEastAsia" w:hAnsiTheme="minorEastAsia" w:cs="宋体" w:hint="eastAsia"/>
          <w:color w:val="FF0000"/>
          <w:kern w:val="0"/>
          <w:szCs w:val="21"/>
        </w:rPr>
        <w:t>包含经营状况、专利产品销售合同、发票、广告资料、用户报告、荣誉证书；以及能够证明专利技术得以良好运用的其它</w:t>
      </w:r>
      <w:r w:rsidR="00207A18" w:rsidRPr="008D161E">
        <w:rPr>
          <w:rFonts w:asciiTheme="minorEastAsia" w:hAnsiTheme="minorEastAsia" w:cs="宋体" w:hint="eastAsia"/>
          <w:color w:val="FF0000"/>
          <w:kern w:val="0"/>
          <w:szCs w:val="21"/>
        </w:rPr>
        <w:t>证明材料</w:t>
      </w:r>
      <w:r w:rsidR="00CF3FA9" w:rsidRPr="008D161E">
        <w:rPr>
          <w:rFonts w:asciiTheme="minorEastAsia" w:hAnsiTheme="minorEastAsia" w:cs="宋体" w:hint="eastAsia"/>
          <w:color w:val="FF0000"/>
          <w:kern w:val="0"/>
          <w:szCs w:val="21"/>
        </w:rPr>
        <w:t>。</w:t>
      </w:r>
    </w:p>
    <w:p w:rsidR="00D91DD3" w:rsidRPr="008D161E" w:rsidRDefault="00D91DD3" w:rsidP="008D161E">
      <w:pPr>
        <w:widowControl/>
        <w:spacing w:line="360" w:lineRule="auto"/>
        <w:ind w:firstLineChars="200" w:firstLine="422"/>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3．其他要求</w:t>
      </w:r>
    </w:p>
    <w:p w:rsidR="00D91DD3"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3.1专利质量低下（新颖性、创造性、实用性、文本质量），权利人存在非正常申请，一票否决制；</w:t>
      </w:r>
    </w:p>
    <w:p w:rsidR="00D91DD3"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3.2新颖性、创造性、实用性的评述参照专利审查规范来写来写，可委托专利代理人配合撰写；新颖性创造性与申请日之前技术对比；新创性内部打分 ：一般、明显、突出；</w:t>
      </w:r>
    </w:p>
    <w:p w:rsidR="00D91DD3"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3.3技术先进性与评审当前技术对比，千万不能与申请日之前技术对比；</w:t>
      </w:r>
    </w:p>
    <w:p w:rsidR="00D91DD3"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3.4权利要求项数，说明书页数、专利维护时间、存在专利群、申请PCT、专利许可等都作为评审指标；</w:t>
      </w:r>
    </w:p>
    <w:p w:rsidR="00D91DD3" w:rsidRPr="008D161E" w:rsidRDefault="00D91DD3"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3.5 部分内容可重复：专利质量、技术先进性的评审由质量组负责；运用及保护措施和成效、社会效益及发展前景的评审由管理组负责；由于两块内容在不同组进行评审，所以部分内容可在两块进行适当重复，（重复点不超过1/3,换一个角度进行描述）</w:t>
      </w:r>
    </w:p>
    <w:p w:rsidR="002B3F56" w:rsidRPr="008D161E" w:rsidRDefault="002B3F56" w:rsidP="008D161E">
      <w:pPr>
        <w:widowControl/>
        <w:spacing w:before="180" w:line="360" w:lineRule="auto"/>
        <w:jc w:val="left"/>
        <w:rPr>
          <w:rFonts w:asciiTheme="minorEastAsia" w:hAnsiTheme="minorEastAsia" w:cs="宋体"/>
          <w:color w:val="FF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lastRenderedPageBreak/>
        <w:t>第六条 推荐及评审程序</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二、评审办公室负责对推荐项目进行初审，并组织开展有关初评工作。</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三、评审办公室根据初评情况，提出预获奖项目名单，报评审委员会。</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四、评审委员会对预获奖项目名单进行审定，确定获奖项目及其奖励等级。</w:t>
      </w:r>
    </w:p>
    <w:p w:rsidR="00895B85" w:rsidRPr="008D161E" w:rsidRDefault="00895B85" w:rsidP="008D161E">
      <w:pPr>
        <w:widowControl/>
        <w:spacing w:line="360" w:lineRule="auto"/>
        <w:ind w:firstLine="360"/>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五、评审办公室在国家知识产权局政府网站公示评选结果。</w:t>
      </w:r>
    </w:p>
    <w:p w:rsidR="002B59C0" w:rsidRPr="008D161E" w:rsidRDefault="00207A18" w:rsidP="008D161E">
      <w:pPr>
        <w:widowControl/>
        <w:spacing w:line="360" w:lineRule="auto"/>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解读：</w:t>
      </w:r>
    </w:p>
    <w:p w:rsidR="00793899" w:rsidRPr="008D161E" w:rsidRDefault="00793899" w:rsidP="008D161E">
      <w:pPr>
        <w:widowControl/>
        <w:spacing w:line="360" w:lineRule="auto"/>
        <w:ind w:firstLineChars="200" w:firstLine="422"/>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1.参评条件及解读</w:t>
      </w:r>
    </w:p>
    <w:p w:rsidR="00793899" w:rsidRPr="008D161E" w:rsidRDefault="00793899" w:rsidP="008D161E">
      <w:pPr>
        <w:widowControl/>
        <w:spacing w:line="360" w:lineRule="auto"/>
        <w:ind w:firstLineChars="100" w:firstLine="21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2019年专利奖申报通知》申报条件：凡是已获得国家知识产权局授权的专利，并同时具备以下条件的，可以参加中国专利奖评选：（一）在2018年12月31日前（含12月31日，以授权公告日为准）被授予发明、实用新型或外观设计专利权（含已解密国防专利，不含保密专利）；（二）专利权有效，在申报截止日前无法律纠纷；（三）全体专利权人均同意参评；（四）未获得过中国专利奖；（五）一项专利作为一个项目参评；</w:t>
      </w:r>
    </w:p>
    <w:p w:rsidR="00793899" w:rsidRPr="008D161E" w:rsidRDefault="00793899" w:rsidP="008D161E">
      <w:pPr>
        <w:widowControl/>
        <w:spacing w:line="360" w:lineRule="auto"/>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（六）相同专利权人参评项目不超过2项。</w:t>
      </w:r>
    </w:p>
    <w:p w:rsidR="00FF3A62" w:rsidRPr="008D161E" w:rsidRDefault="00FF3A62" w:rsidP="008D161E">
      <w:pPr>
        <w:widowControl/>
        <w:spacing w:line="360" w:lineRule="auto"/>
        <w:ind w:firstLine="480"/>
        <w:jc w:val="left"/>
        <w:rPr>
          <w:rFonts w:asciiTheme="minorEastAsia" w:hAnsiTheme="minorEastAsia" w:cs="宋体"/>
          <w:color w:val="FF0000"/>
          <w:kern w:val="0"/>
          <w:szCs w:val="21"/>
        </w:rPr>
      </w:pPr>
      <w:r w:rsidRPr="008D161E">
        <w:rPr>
          <w:rFonts w:asciiTheme="minorEastAsia" w:hAnsiTheme="minorEastAsia" w:cs="宋体" w:hint="eastAsia"/>
          <w:b/>
          <w:color w:val="FF0000"/>
          <w:kern w:val="0"/>
          <w:szCs w:val="21"/>
        </w:rPr>
        <w:t>解读</w:t>
      </w:r>
      <w:r w:rsidRPr="008D161E">
        <w:rPr>
          <w:rFonts w:asciiTheme="minorEastAsia" w:hAnsiTheme="minorEastAsia" w:cs="宋体" w:hint="eastAsia"/>
          <w:color w:val="FF0000"/>
          <w:kern w:val="0"/>
          <w:szCs w:val="21"/>
        </w:rPr>
        <w:t xml:space="preserve">1.1专利筛选：以一个专利为主进行申报而非以一项技术为主进行申报，好技术不一定是好专利； </w:t>
      </w:r>
    </w:p>
    <w:p w:rsidR="00FF3A62" w:rsidRPr="008D161E" w:rsidRDefault="00FF3A62" w:rsidP="008D161E">
      <w:pPr>
        <w:widowControl/>
        <w:spacing w:line="360" w:lineRule="auto"/>
        <w:ind w:firstLine="48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1.2限项：所有专利权人作为一个整体判断是否超过2项：A+B=B+A   A≠A+B≠A+C</w:t>
      </w:r>
      <w:r w:rsidR="00EC14BA" w:rsidRPr="008D161E">
        <w:rPr>
          <w:rFonts w:asciiTheme="minorEastAsia" w:hAnsiTheme="minorEastAsia" w:cs="宋体" w:hint="eastAsia"/>
          <w:color w:val="FF0000"/>
          <w:kern w:val="0"/>
          <w:szCs w:val="21"/>
        </w:rPr>
        <w:t>；</w:t>
      </w:r>
    </w:p>
    <w:p w:rsidR="00793899" w:rsidRPr="008D161E" w:rsidRDefault="00FF3A62" w:rsidP="008D161E">
      <w:pPr>
        <w:widowControl/>
        <w:spacing w:line="360" w:lineRule="auto"/>
        <w:ind w:firstLine="48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1.3通过形式审查的，未获奖专利，建议至少隔年再报；不同年份之间一般只进行申报专利的专利</w:t>
      </w:r>
      <w:proofErr w:type="gramStart"/>
      <w:r w:rsidRPr="008D161E">
        <w:rPr>
          <w:rFonts w:asciiTheme="minorEastAsia" w:hAnsiTheme="minorEastAsia" w:cs="宋体" w:hint="eastAsia"/>
          <w:color w:val="FF0000"/>
          <w:kern w:val="0"/>
          <w:szCs w:val="21"/>
        </w:rPr>
        <w:t>号查重</w:t>
      </w:r>
      <w:proofErr w:type="gramEnd"/>
      <w:r w:rsidRPr="008D161E">
        <w:rPr>
          <w:rFonts w:asciiTheme="minorEastAsia" w:hAnsiTheme="minorEastAsia" w:cs="宋体" w:hint="eastAsia"/>
          <w:color w:val="FF0000"/>
          <w:kern w:val="0"/>
          <w:szCs w:val="21"/>
        </w:rPr>
        <w:t>不进行材料查重</w:t>
      </w:r>
      <w:r w:rsidR="00EC14BA" w:rsidRPr="008D161E">
        <w:rPr>
          <w:rFonts w:asciiTheme="minorEastAsia" w:hAnsiTheme="minorEastAsia" w:cs="宋体" w:hint="eastAsia"/>
          <w:color w:val="FF0000"/>
          <w:kern w:val="0"/>
          <w:szCs w:val="21"/>
        </w:rPr>
        <w:t>；</w:t>
      </w:r>
    </w:p>
    <w:p w:rsidR="00EC14BA" w:rsidRPr="008D161E" w:rsidRDefault="00EC14BA" w:rsidP="008D161E">
      <w:pPr>
        <w:widowControl/>
        <w:spacing w:line="360" w:lineRule="auto"/>
        <w:ind w:firstLine="48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1.4 专利权转让后，专利权人发生变化，原权利人不能申报专利奖，</w:t>
      </w:r>
      <w:proofErr w:type="gramStart"/>
      <w:r w:rsidRPr="008D161E">
        <w:rPr>
          <w:rFonts w:asciiTheme="minorEastAsia" w:hAnsiTheme="minorEastAsia" w:cs="宋体" w:hint="eastAsia"/>
          <w:color w:val="FF0000"/>
          <w:kern w:val="0"/>
          <w:szCs w:val="21"/>
        </w:rPr>
        <w:t>新权利</w:t>
      </w:r>
      <w:proofErr w:type="gramEnd"/>
      <w:r w:rsidRPr="008D161E">
        <w:rPr>
          <w:rFonts w:asciiTheme="minorEastAsia" w:hAnsiTheme="minorEastAsia" w:cs="宋体" w:hint="eastAsia"/>
          <w:color w:val="FF0000"/>
          <w:kern w:val="0"/>
          <w:szCs w:val="21"/>
        </w:rPr>
        <w:t>人可以申报；专利许可专利权人未变化。</w:t>
      </w:r>
    </w:p>
    <w:p w:rsidR="00DF6F6F" w:rsidRPr="008D161E" w:rsidRDefault="00FF3A62" w:rsidP="008D161E">
      <w:pPr>
        <w:widowControl/>
        <w:spacing w:line="360" w:lineRule="auto"/>
        <w:ind w:firstLineChars="200" w:firstLine="422"/>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2.</w:t>
      </w:r>
      <w:r w:rsidR="00DF6F6F" w:rsidRPr="008D161E">
        <w:rPr>
          <w:rFonts w:asciiTheme="minorEastAsia" w:hAnsiTheme="minorEastAsia" w:cs="宋体" w:hint="eastAsia"/>
          <w:b/>
          <w:color w:val="FF0000"/>
          <w:kern w:val="0"/>
          <w:szCs w:val="21"/>
        </w:rPr>
        <w:t>推荐方式</w:t>
      </w:r>
    </w:p>
    <w:p w:rsidR="00DF6F6F" w:rsidRPr="008D161E" w:rsidRDefault="00FF3A62"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DF6F6F" w:rsidRPr="008D161E">
        <w:rPr>
          <w:rFonts w:asciiTheme="minorEastAsia" w:hAnsiTheme="minorEastAsia" w:cs="宋体" w:hint="eastAsia"/>
          <w:color w:val="FF0000"/>
          <w:kern w:val="0"/>
          <w:szCs w:val="21"/>
        </w:rPr>
        <w:t>.1同领域的两名院士可联名推荐1项本专利领域的发明专利，每位院士仅限推荐一次；不</w:t>
      </w:r>
      <w:proofErr w:type="gramStart"/>
      <w:r w:rsidR="00DF6F6F" w:rsidRPr="008D161E">
        <w:rPr>
          <w:rFonts w:asciiTheme="minorEastAsia" w:hAnsiTheme="minorEastAsia" w:cs="宋体" w:hint="eastAsia"/>
          <w:color w:val="FF0000"/>
          <w:kern w:val="0"/>
          <w:szCs w:val="21"/>
        </w:rPr>
        <w:t>占用省知识</w:t>
      </w:r>
      <w:proofErr w:type="gramEnd"/>
      <w:r w:rsidR="00DF6F6F" w:rsidRPr="008D161E">
        <w:rPr>
          <w:rFonts w:asciiTheme="minorEastAsia" w:hAnsiTheme="minorEastAsia" w:cs="宋体" w:hint="eastAsia"/>
          <w:color w:val="FF0000"/>
          <w:kern w:val="0"/>
          <w:szCs w:val="21"/>
        </w:rPr>
        <w:t>产局名额；</w:t>
      </w:r>
    </w:p>
    <w:p w:rsidR="00DF6F6F" w:rsidRPr="008D161E" w:rsidRDefault="00FF3A62"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DF6F6F" w:rsidRPr="008D161E">
        <w:rPr>
          <w:rFonts w:asciiTheme="minorEastAsia" w:hAnsiTheme="minorEastAsia" w:cs="宋体" w:hint="eastAsia"/>
          <w:color w:val="FF0000"/>
          <w:kern w:val="0"/>
          <w:szCs w:val="21"/>
        </w:rPr>
        <w:t>.2自2019年起，国家知识产权示范企业每两年可自荐1个项目参评；</w:t>
      </w:r>
    </w:p>
    <w:p w:rsidR="00DF6F6F" w:rsidRPr="008D161E" w:rsidRDefault="00FF3A62"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DF6F6F" w:rsidRPr="008D161E">
        <w:rPr>
          <w:rFonts w:asciiTheme="minorEastAsia" w:hAnsiTheme="minorEastAsia" w:cs="宋体" w:hint="eastAsia"/>
          <w:color w:val="FF0000"/>
          <w:kern w:val="0"/>
          <w:szCs w:val="21"/>
        </w:rPr>
        <w:t>.3以下单位不能推荐：学会、商会、协会的专业委员会、研究会（只有中国知识产权研究会可推荐）；</w:t>
      </w:r>
    </w:p>
    <w:p w:rsidR="00DF6F6F" w:rsidRPr="008D161E" w:rsidRDefault="00FF3A62"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2</w:t>
      </w:r>
      <w:r w:rsidR="00DF6F6F" w:rsidRPr="008D161E">
        <w:rPr>
          <w:rFonts w:asciiTheme="minorEastAsia" w:hAnsiTheme="minorEastAsia" w:cs="宋体" w:hint="eastAsia"/>
          <w:color w:val="FF0000"/>
          <w:kern w:val="0"/>
          <w:szCs w:val="21"/>
        </w:rPr>
        <w:t>.4 注意推荐单位与本专利技术的相关性问题，避免不搭配；</w:t>
      </w:r>
    </w:p>
    <w:p w:rsidR="00DF6F6F" w:rsidRPr="008D161E" w:rsidRDefault="00FF3A62" w:rsidP="008D161E">
      <w:pPr>
        <w:widowControl/>
        <w:spacing w:line="360" w:lineRule="auto"/>
        <w:ind w:firstLineChars="200" w:firstLine="42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lastRenderedPageBreak/>
        <w:t>2</w:t>
      </w:r>
      <w:r w:rsidR="00DF6F6F" w:rsidRPr="008D161E">
        <w:rPr>
          <w:rFonts w:asciiTheme="minorEastAsia" w:hAnsiTheme="minorEastAsia" w:cs="宋体" w:hint="eastAsia"/>
          <w:color w:val="FF0000"/>
          <w:kern w:val="0"/>
          <w:szCs w:val="21"/>
        </w:rPr>
        <w:t>.5 是否推进进入审批环节，是否经过</w:t>
      </w:r>
      <w:proofErr w:type="gramStart"/>
      <w:r w:rsidR="00DF6F6F" w:rsidRPr="008D161E">
        <w:rPr>
          <w:rFonts w:asciiTheme="minorEastAsia" w:hAnsiTheme="minorEastAsia" w:cs="宋体" w:hint="eastAsia"/>
          <w:color w:val="FF0000"/>
          <w:kern w:val="0"/>
          <w:szCs w:val="21"/>
        </w:rPr>
        <w:t>形审</w:t>
      </w:r>
      <w:r w:rsidR="00A541BE" w:rsidRPr="008D161E">
        <w:rPr>
          <w:rFonts w:asciiTheme="minorEastAsia" w:hAnsiTheme="minorEastAsia" w:cs="宋体" w:hint="eastAsia"/>
          <w:color w:val="FF0000"/>
          <w:kern w:val="0"/>
          <w:szCs w:val="21"/>
        </w:rPr>
        <w:t>进入</w:t>
      </w:r>
      <w:proofErr w:type="gramEnd"/>
      <w:r w:rsidR="00A541BE" w:rsidRPr="008D161E">
        <w:rPr>
          <w:rFonts w:asciiTheme="minorEastAsia" w:hAnsiTheme="minorEastAsia" w:cs="宋体" w:hint="eastAsia"/>
          <w:color w:val="FF0000"/>
          <w:kern w:val="0"/>
          <w:szCs w:val="21"/>
        </w:rPr>
        <w:t>下一环节，不进行公告</w:t>
      </w:r>
    </w:p>
    <w:p w:rsidR="001C3309" w:rsidRPr="008D161E" w:rsidRDefault="00FF3A62" w:rsidP="008D161E">
      <w:pPr>
        <w:widowControl/>
        <w:spacing w:line="360" w:lineRule="auto"/>
        <w:ind w:firstLineChars="200" w:firstLine="422"/>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3</w:t>
      </w:r>
      <w:r w:rsidR="002B59C0" w:rsidRPr="008D161E">
        <w:rPr>
          <w:rFonts w:asciiTheme="minorEastAsia" w:hAnsiTheme="minorEastAsia" w:cs="宋体" w:hint="eastAsia"/>
          <w:b/>
          <w:color w:val="FF0000"/>
          <w:kern w:val="0"/>
          <w:szCs w:val="21"/>
        </w:rPr>
        <w:t>．</w:t>
      </w:r>
      <w:r w:rsidR="001C3309" w:rsidRPr="008D161E">
        <w:rPr>
          <w:rFonts w:asciiTheme="minorEastAsia" w:hAnsiTheme="minorEastAsia" w:cs="宋体" w:hint="eastAsia"/>
          <w:b/>
          <w:color w:val="FF0000"/>
          <w:kern w:val="0"/>
          <w:szCs w:val="21"/>
        </w:rPr>
        <w:t>中国专利奖评选时间及主要工作内容</w:t>
      </w:r>
    </w:p>
    <w:p w:rsidR="001C3309" w:rsidRPr="008D161E" w:rsidRDefault="001C3309" w:rsidP="008D161E">
      <w:pPr>
        <w:widowControl/>
        <w:spacing w:line="360" w:lineRule="auto"/>
        <w:ind w:firstLineChars="200" w:firstLine="420"/>
        <w:jc w:val="left"/>
        <w:rPr>
          <w:rFonts w:asciiTheme="minorEastAsia" w:hAnsiTheme="minorEastAsia" w:cs="宋体"/>
          <w:color w:val="FF0000"/>
          <w:kern w:val="0"/>
          <w:szCs w:val="21"/>
        </w:rPr>
      </w:pPr>
    </w:p>
    <w:tbl>
      <w:tblPr>
        <w:tblStyle w:val="a7"/>
        <w:tblW w:w="0" w:type="auto"/>
        <w:jc w:val="center"/>
        <w:tblLook w:val="0000" w:firstRow="0" w:lastRow="0" w:firstColumn="0" w:lastColumn="0" w:noHBand="0" w:noVBand="0"/>
      </w:tblPr>
      <w:tblGrid>
        <w:gridCol w:w="3389"/>
        <w:gridCol w:w="3389"/>
      </w:tblGrid>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2"/>
              <w:jc w:val="center"/>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时间</w:t>
            </w:r>
          </w:p>
        </w:tc>
        <w:tc>
          <w:tcPr>
            <w:tcW w:w="3389" w:type="dxa"/>
            <w:vAlign w:val="center"/>
          </w:tcPr>
          <w:p w:rsidR="001C3309" w:rsidRPr="008D161E" w:rsidRDefault="001C3309" w:rsidP="008D161E">
            <w:pPr>
              <w:widowControl/>
              <w:spacing w:line="360" w:lineRule="auto"/>
              <w:ind w:firstLineChars="200" w:firstLine="422"/>
              <w:jc w:val="center"/>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工作内容</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4月初</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印发通知</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5月中旬-5月底</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递交申报材料</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6月初-6月中旬</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形式审查</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7月初-7月中旬</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专利性初评</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7月底-8月上旬</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运用和保护状况初评</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8月上旬-8月底</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技术性和发展前景评议</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8月底-9月上旬</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分数加和/平衡调整</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9月底-9月中旬</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审定</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9月底-10月初</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公示及异议处理</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10月初-11月初</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WIPO会签</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11月初</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公布授奖决定</w:t>
            </w:r>
          </w:p>
        </w:tc>
      </w:tr>
      <w:tr w:rsidR="001C3309" w:rsidRPr="008D161E" w:rsidTr="001C3309">
        <w:trPr>
          <w:trHeight w:val="330"/>
          <w:jc w:val="center"/>
        </w:trPr>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12月</w:t>
            </w:r>
          </w:p>
        </w:tc>
        <w:tc>
          <w:tcPr>
            <w:tcW w:w="3389" w:type="dxa"/>
            <w:vAlign w:val="center"/>
          </w:tcPr>
          <w:p w:rsidR="001C3309" w:rsidRPr="008D161E" w:rsidRDefault="001C3309" w:rsidP="008D161E">
            <w:pPr>
              <w:widowControl/>
              <w:spacing w:line="360" w:lineRule="auto"/>
              <w:ind w:firstLineChars="200" w:firstLine="420"/>
              <w:jc w:val="center"/>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颁奖大会</w:t>
            </w:r>
          </w:p>
        </w:tc>
      </w:tr>
    </w:tbl>
    <w:p w:rsidR="001C3309" w:rsidRPr="008D161E" w:rsidRDefault="001C3309" w:rsidP="008D161E">
      <w:pPr>
        <w:widowControl/>
        <w:spacing w:line="360" w:lineRule="auto"/>
        <w:jc w:val="left"/>
        <w:rPr>
          <w:rFonts w:asciiTheme="minorEastAsia" w:hAnsiTheme="minorEastAsia" w:cs="宋体"/>
          <w:b/>
          <w:color w:val="FF0000"/>
          <w:kern w:val="0"/>
          <w:szCs w:val="21"/>
        </w:rPr>
      </w:pPr>
    </w:p>
    <w:p w:rsidR="00207A18" w:rsidRPr="008D161E" w:rsidRDefault="00FF3A62" w:rsidP="008D161E">
      <w:pPr>
        <w:widowControl/>
        <w:spacing w:line="360" w:lineRule="auto"/>
        <w:jc w:val="left"/>
        <w:rPr>
          <w:rFonts w:asciiTheme="minorEastAsia" w:hAnsiTheme="minorEastAsia" w:cs="宋体"/>
          <w:b/>
          <w:color w:val="FF0000"/>
          <w:kern w:val="0"/>
          <w:szCs w:val="21"/>
        </w:rPr>
      </w:pPr>
      <w:r w:rsidRPr="008D161E">
        <w:rPr>
          <w:rFonts w:asciiTheme="minorEastAsia" w:hAnsiTheme="minorEastAsia" w:cs="宋体" w:hint="eastAsia"/>
          <w:b/>
          <w:color w:val="FF0000"/>
          <w:kern w:val="0"/>
          <w:szCs w:val="21"/>
        </w:rPr>
        <w:t>4</w:t>
      </w:r>
      <w:r w:rsidR="001548FA" w:rsidRPr="008D161E">
        <w:rPr>
          <w:rFonts w:asciiTheme="minorEastAsia" w:hAnsiTheme="minorEastAsia" w:cs="宋体" w:hint="eastAsia"/>
          <w:b/>
          <w:color w:val="FF0000"/>
          <w:kern w:val="0"/>
          <w:szCs w:val="21"/>
        </w:rPr>
        <w:t>.申报辅导</w:t>
      </w:r>
    </w:p>
    <w:p w:rsidR="001548FA" w:rsidRPr="008D161E" w:rsidRDefault="001548FA" w:rsidP="008D161E">
      <w:pPr>
        <w:widowControl/>
        <w:spacing w:line="360" w:lineRule="auto"/>
        <w:ind w:firstLine="480"/>
        <w:jc w:val="left"/>
        <w:rPr>
          <w:rFonts w:asciiTheme="minorEastAsia" w:hAnsiTheme="minorEastAsia" w:cs="宋体"/>
          <w:color w:val="FF0000"/>
          <w:kern w:val="0"/>
          <w:szCs w:val="21"/>
        </w:rPr>
      </w:pPr>
      <w:r w:rsidRPr="008D161E">
        <w:rPr>
          <w:rFonts w:asciiTheme="minorEastAsia" w:hAnsiTheme="minorEastAsia" w:cs="宋体" w:hint="eastAsia"/>
          <w:color w:val="FF0000"/>
          <w:kern w:val="0"/>
          <w:szCs w:val="21"/>
        </w:rPr>
        <w:t>部分知识产权、科研咨询公司承接申报材料撰写辅导工作</w:t>
      </w:r>
    </w:p>
    <w:p w:rsidR="00207A18" w:rsidRPr="008D161E" w:rsidRDefault="00207A18" w:rsidP="008D161E">
      <w:pPr>
        <w:widowControl/>
        <w:spacing w:line="360" w:lineRule="auto"/>
        <w:jc w:val="left"/>
        <w:rPr>
          <w:rFonts w:asciiTheme="minorEastAsia" w:hAnsiTheme="minorEastAsia" w:cs="宋体"/>
          <w:color w:val="00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第七条 异议处理</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一、中国专利奖评选工作接受社会监督，社会公众对公示项目有异议的，可在规定时间内向评审办公室提出。</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三、参与异议处理的有关人员对异议者的身份及有关异议信息予以保密。</w:t>
      </w:r>
    </w:p>
    <w:p w:rsidR="001548FA" w:rsidRPr="008D161E" w:rsidRDefault="001548FA"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w:t>
      </w: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第八条 授 奖</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lastRenderedPageBreak/>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国家知识产权局会同世界知识产权组织召开会议，共同表彰有关获奖的发明人（设计人）及专利权人。</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国家知识产权局通过电视、网络、报刊等媒体公布获奖结果；对于获奖的项目，专利权人可以在其产品上标注奖项名称及获奖时间。</w:t>
      </w:r>
    </w:p>
    <w:p w:rsidR="001548FA" w:rsidRPr="008D161E" w:rsidRDefault="001548FA" w:rsidP="008D161E">
      <w:pPr>
        <w:widowControl/>
        <w:spacing w:line="360" w:lineRule="auto"/>
        <w:jc w:val="left"/>
        <w:rPr>
          <w:rFonts w:asciiTheme="minorEastAsia" w:hAnsiTheme="minorEastAsia" w:cs="宋体"/>
          <w:color w:val="000000"/>
          <w:kern w:val="0"/>
          <w:szCs w:val="21"/>
        </w:rPr>
      </w:pPr>
    </w:p>
    <w:p w:rsidR="00895B85"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第九条 撤 奖</w:t>
      </w:r>
    </w:p>
    <w:p w:rsidR="00895B85" w:rsidRPr="008D161E" w:rsidRDefault="00895B85" w:rsidP="008D161E">
      <w:pPr>
        <w:widowControl/>
        <w:spacing w:line="360" w:lineRule="auto"/>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对于获奖项目，若发现报送材料不实，且有证据证明不符合获奖条件的，由评审办公室提出撤销授奖的意见，经评审委员会批准，撤销授奖并追回奖牌和证书。</w:t>
      </w:r>
    </w:p>
    <w:p w:rsidR="001548FA" w:rsidRPr="008D161E" w:rsidRDefault="001548FA" w:rsidP="008D161E">
      <w:pPr>
        <w:widowControl/>
        <w:spacing w:line="360" w:lineRule="auto"/>
        <w:jc w:val="left"/>
        <w:rPr>
          <w:rFonts w:asciiTheme="minorEastAsia" w:hAnsiTheme="minorEastAsia" w:cs="宋体"/>
          <w:color w:val="000000"/>
          <w:kern w:val="0"/>
          <w:szCs w:val="21"/>
        </w:rPr>
      </w:pPr>
    </w:p>
    <w:p w:rsidR="001548FA" w:rsidRPr="006B4E49" w:rsidRDefault="00895B85" w:rsidP="008D161E">
      <w:pPr>
        <w:widowControl/>
        <w:spacing w:line="360" w:lineRule="auto"/>
        <w:jc w:val="left"/>
        <w:rPr>
          <w:rFonts w:ascii="黑体" w:eastAsia="黑体" w:hAnsi="黑体" w:cs="宋体"/>
          <w:b/>
          <w:color w:val="000000"/>
          <w:kern w:val="0"/>
          <w:szCs w:val="21"/>
        </w:rPr>
      </w:pPr>
      <w:r w:rsidRPr="006B4E49">
        <w:rPr>
          <w:rFonts w:ascii="黑体" w:eastAsia="黑体" w:hAnsi="黑体" w:cs="宋体"/>
          <w:b/>
          <w:color w:val="000000"/>
          <w:kern w:val="0"/>
          <w:szCs w:val="21"/>
        </w:rPr>
        <w:t>第十条</w:t>
      </w:r>
    </w:p>
    <w:p w:rsidR="00895B85" w:rsidRPr="008D161E" w:rsidRDefault="00895B85" w:rsidP="008D161E">
      <w:pPr>
        <w:widowControl/>
        <w:spacing w:line="360" w:lineRule="auto"/>
        <w:ind w:firstLineChars="200" w:firstLine="420"/>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本办法由中国专利奖评审办公室负责解释。</w:t>
      </w:r>
    </w:p>
    <w:p w:rsidR="001548FA" w:rsidRPr="008D161E" w:rsidRDefault="001548FA" w:rsidP="008D161E">
      <w:pPr>
        <w:widowControl/>
        <w:spacing w:line="360" w:lineRule="auto"/>
        <w:jc w:val="left"/>
        <w:rPr>
          <w:rFonts w:asciiTheme="minorEastAsia" w:hAnsiTheme="minorEastAsia" w:cs="宋体"/>
          <w:color w:val="000000"/>
          <w:kern w:val="0"/>
          <w:szCs w:val="21"/>
        </w:rPr>
      </w:pPr>
    </w:p>
    <w:p w:rsidR="001548FA" w:rsidRPr="006B4E49" w:rsidRDefault="00895B85" w:rsidP="008D161E">
      <w:pPr>
        <w:widowControl/>
        <w:spacing w:line="360" w:lineRule="auto"/>
        <w:jc w:val="left"/>
        <w:rPr>
          <w:rFonts w:ascii="黑体" w:eastAsia="黑体" w:hAnsi="黑体" w:cs="宋体"/>
          <w:b/>
          <w:color w:val="000000"/>
          <w:kern w:val="0"/>
          <w:szCs w:val="21"/>
        </w:rPr>
      </w:pPr>
      <w:bookmarkStart w:id="0" w:name="_GoBack"/>
      <w:r w:rsidRPr="006B4E49">
        <w:rPr>
          <w:rFonts w:ascii="黑体" w:eastAsia="黑体" w:hAnsi="黑体" w:cs="宋体"/>
          <w:b/>
          <w:color w:val="000000"/>
          <w:kern w:val="0"/>
          <w:szCs w:val="21"/>
        </w:rPr>
        <w:t>第十一条</w:t>
      </w:r>
    </w:p>
    <w:bookmarkEnd w:id="0"/>
    <w:p w:rsidR="00895B85" w:rsidRPr="008D161E" w:rsidRDefault="00895B85" w:rsidP="008D161E">
      <w:pPr>
        <w:widowControl/>
        <w:spacing w:line="360" w:lineRule="auto"/>
        <w:ind w:firstLineChars="200" w:firstLine="420"/>
        <w:jc w:val="left"/>
        <w:rPr>
          <w:rFonts w:asciiTheme="minorEastAsia" w:hAnsiTheme="minorEastAsia" w:cs="宋体"/>
          <w:color w:val="000000"/>
          <w:kern w:val="0"/>
          <w:szCs w:val="21"/>
        </w:rPr>
      </w:pPr>
      <w:r w:rsidRPr="008D161E">
        <w:rPr>
          <w:rFonts w:asciiTheme="minorEastAsia" w:hAnsiTheme="minorEastAsia" w:cs="宋体"/>
          <w:color w:val="000000"/>
          <w:kern w:val="0"/>
          <w:szCs w:val="21"/>
        </w:rPr>
        <w:t xml:space="preserve"> 本办法自公布之日起执行。</w:t>
      </w:r>
    </w:p>
    <w:p w:rsidR="008E1ABF" w:rsidRDefault="006B4E49" w:rsidP="002B3F56">
      <w:pPr>
        <w:spacing w:line="360" w:lineRule="auto"/>
        <w:rPr>
          <w:rFonts w:ascii="宋体" w:eastAsia="宋体" w:hAnsi="宋体"/>
          <w:sz w:val="24"/>
          <w:szCs w:val="24"/>
        </w:rPr>
      </w:pPr>
    </w:p>
    <w:p w:rsidR="00793899" w:rsidRPr="002B3F56" w:rsidRDefault="00793899" w:rsidP="002B3F56">
      <w:pPr>
        <w:spacing w:line="360" w:lineRule="auto"/>
        <w:rPr>
          <w:rFonts w:ascii="宋体" w:eastAsia="宋体" w:hAnsi="宋体"/>
          <w:sz w:val="24"/>
          <w:szCs w:val="24"/>
        </w:rPr>
      </w:pPr>
    </w:p>
    <w:sectPr w:rsidR="00793899" w:rsidRPr="002B3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17" w:rsidRDefault="00AF2417" w:rsidP="002B3F56">
      <w:r>
        <w:separator/>
      </w:r>
    </w:p>
  </w:endnote>
  <w:endnote w:type="continuationSeparator" w:id="0">
    <w:p w:rsidR="00AF2417" w:rsidRDefault="00AF2417" w:rsidP="002B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17" w:rsidRDefault="00AF2417" w:rsidP="002B3F56">
      <w:r>
        <w:separator/>
      </w:r>
    </w:p>
  </w:footnote>
  <w:footnote w:type="continuationSeparator" w:id="0">
    <w:p w:rsidR="00AF2417" w:rsidRDefault="00AF2417" w:rsidP="002B3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781D"/>
    <w:multiLevelType w:val="hybridMultilevel"/>
    <w:tmpl w:val="C0CE461C"/>
    <w:lvl w:ilvl="0" w:tplc="0504B058">
      <w:start w:val="1"/>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85"/>
    <w:rsid w:val="00011E46"/>
    <w:rsid w:val="00013B69"/>
    <w:rsid w:val="00020AC9"/>
    <w:rsid w:val="00021B9B"/>
    <w:rsid w:val="00023512"/>
    <w:rsid w:val="000416C3"/>
    <w:rsid w:val="00056D68"/>
    <w:rsid w:val="000710C7"/>
    <w:rsid w:val="00071781"/>
    <w:rsid w:val="00072C6D"/>
    <w:rsid w:val="000741CB"/>
    <w:rsid w:val="00077E92"/>
    <w:rsid w:val="00081FFD"/>
    <w:rsid w:val="0009141E"/>
    <w:rsid w:val="000A2D80"/>
    <w:rsid w:val="000A3F23"/>
    <w:rsid w:val="000A40D6"/>
    <w:rsid w:val="000D24B8"/>
    <w:rsid w:val="000D52D6"/>
    <w:rsid w:val="000D5B81"/>
    <w:rsid w:val="000E410F"/>
    <w:rsid w:val="000E7CF6"/>
    <w:rsid w:val="000F767B"/>
    <w:rsid w:val="00115139"/>
    <w:rsid w:val="0011617F"/>
    <w:rsid w:val="001176BD"/>
    <w:rsid w:val="00121286"/>
    <w:rsid w:val="001229C1"/>
    <w:rsid w:val="001239FC"/>
    <w:rsid w:val="001316D3"/>
    <w:rsid w:val="00146361"/>
    <w:rsid w:val="001548FA"/>
    <w:rsid w:val="00157653"/>
    <w:rsid w:val="00172F0E"/>
    <w:rsid w:val="00183F8B"/>
    <w:rsid w:val="0018725B"/>
    <w:rsid w:val="00190A38"/>
    <w:rsid w:val="0019424C"/>
    <w:rsid w:val="001A08F8"/>
    <w:rsid w:val="001A1334"/>
    <w:rsid w:val="001A6AEB"/>
    <w:rsid w:val="001B151F"/>
    <w:rsid w:val="001C0637"/>
    <w:rsid w:val="001C3309"/>
    <w:rsid w:val="001C5136"/>
    <w:rsid w:val="001C6243"/>
    <w:rsid w:val="001D4DE9"/>
    <w:rsid w:val="001E6861"/>
    <w:rsid w:val="001F127F"/>
    <w:rsid w:val="001F78FE"/>
    <w:rsid w:val="00200243"/>
    <w:rsid w:val="00207A18"/>
    <w:rsid w:val="00222316"/>
    <w:rsid w:val="00225432"/>
    <w:rsid w:val="00226E5B"/>
    <w:rsid w:val="00236F1F"/>
    <w:rsid w:val="0024492D"/>
    <w:rsid w:val="002601C2"/>
    <w:rsid w:val="00262072"/>
    <w:rsid w:val="002651EE"/>
    <w:rsid w:val="00265C33"/>
    <w:rsid w:val="00266E3B"/>
    <w:rsid w:val="00277F17"/>
    <w:rsid w:val="00285300"/>
    <w:rsid w:val="002943C1"/>
    <w:rsid w:val="00295613"/>
    <w:rsid w:val="00296D93"/>
    <w:rsid w:val="002A0348"/>
    <w:rsid w:val="002A39AC"/>
    <w:rsid w:val="002B1984"/>
    <w:rsid w:val="002B2776"/>
    <w:rsid w:val="002B3F56"/>
    <w:rsid w:val="002B4DE2"/>
    <w:rsid w:val="002B59C0"/>
    <w:rsid w:val="002C7BDB"/>
    <w:rsid w:val="002D6A4B"/>
    <w:rsid w:val="002E50B6"/>
    <w:rsid w:val="002E6B7A"/>
    <w:rsid w:val="002F3093"/>
    <w:rsid w:val="002F5548"/>
    <w:rsid w:val="0031407E"/>
    <w:rsid w:val="00315639"/>
    <w:rsid w:val="003318DF"/>
    <w:rsid w:val="003475D7"/>
    <w:rsid w:val="00350414"/>
    <w:rsid w:val="00350C53"/>
    <w:rsid w:val="0035111F"/>
    <w:rsid w:val="00354877"/>
    <w:rsid w:val="0036236C"/>
    <w:rsid w:val="0036411B"/>
    <w:rsid w:val="003675B1"/>
    <w:rsid w:val="00386208"/>
    <w:rsid w:val="00387D11"/>
    <w:rsid w:val="0039206F"/>
    <w:rsid w:val="003924D4"/>
    <w:rsid w:val="003A4BE3"/>
    <w:rsid w:val="003B1B32"/>
    <w:rsid w:val="003B454F"/>
    <w:rsid w:val="003B79F2"/>
    <w:rsid w:val="003C4A8B"/>
    <w:rsid w:val="003C7E28"/>
    <w:rsid w:val="003D0743"/>
    <w:rsid w:val="003D7287"/>
    <w:rsid w:val="003E13B1"/>
    <w:rsid w:val="003E5AD5"/>
    <w:rsid w:val="003E6D15"/>
    <w:rsid w:val="004007FC"/>
    <w:rsid w:val="0040246C"/>
    <w:rsid w:val="0041256E"/>
    <w:rsid w:val="004230A6"/>
    <w:rsid w:val="004262A5"/>
    <w:rsid w:val="00435CA6"/>
    <w:rsid w:val="0043673D"/>
    <w:rsid w:val="00445246"/>
    <w:rsid w:val="00447A18"/>
    <w:rsid w:val="00452660"/>
    <w:rsid w:val="00462098"/>
    <w:rsid w:val="0046794A"/>
    <w:rsid w:val="00471BF7"/>
    <w:rsid w:val="004723EF"/>
    <w:rsid w:val="004737FA"/>
    <w:rsid w:val="00487114"/>
    <w:rsid w:val="0049028D"/>
    <w:rsid w:val="00493722"/>
    <w:rsid w:val="004A1F35"/>
    <w:rsid w:val="004A2905"/>
    <w:rsid w:val="004A43F0"/>
    <w:rsid w:val="004A55E8"/>
    <w:rsid w:val="004C04A9"/>
    <w:rsid w:val="004C77F0"/>
    <w:rsid w:val="004C7AFC"/>
    <w:rsid w:val="004D2163"/>
    <w:rsid w:val="004E0C95"/>
    <w:rsid w:val="004E2DF9"/>
    <w:rsid w:val="004F1A5F"/>
    <w:rsid w:val="004F3FB3"/>
    <w:rsid w:val="004F70FB"/>
    <w:rsid w:val="004F7CB6"/>
    <w:rsid w:val="0050354F"/>
    <w:rsid w:val="005109A8"/>
    <w:rsid w:val="00512EC5"/>
    <w:rsid w:val="00516BA0"/>
    <w:rsid w:val="0052270D"/>
    <w:rsid w:val="00526F2A"/>
    <w:rsid w:val="005273D9"/>
    <w:rsid w:val="005420EA"/>
    <w:rsid w:val="0055261F"/>
    <w:rsid w:val="00564293"/>
    <w:rsid w:val="00570928"/>
    <w:rsid w:val="00584B2E"/>
    <w:rsid w:val="00590151"/>
    <w:rsid w:val="00594684"/>
    <w:rsid w:val="005B0C41"/>
    <w:rsid w:val="005B47F3"/>
    <w:rsid w:val="005C1011"/>
    <w:rsid w:val="005D6480"/>
    <w:rsid w:val="005E45E3"/>
    <w:rsid w:val="00603349"/>
    <w:rsid w:val="00607880"/>
    <w:rsid w:val="00607C77"/>
    <w:rsid w:val="0061477F"/>
    <w:rsid w:val="0062259C"/>
    <w:rsid w:val="006230C3"/>
    <w:rsid w:val="00624BF5"/>
    <w:rsid w:val="0063647D"/>
    <w:rsid w:val="0066031D"/>
    <w:rsid w:val="00671395"/>
    <w:rsid w:val="006837C3"/>
    <w:rsid w:val="00690698"/>
    <w:rsid w:val="006A23C2"/>
    <w:rsid w:val="006B4E49"/>
    <w:rsid w:val="006B67FB"/>
    <w:rsid w:val="006C038A"/>
    <w:rsid w:val="006D0BC9"/>
    <w:rsid w:val="006D5C20"/>
    <w:rsid w:val="006D72EA"/>
    <w:rsid w:val="006E1367"/>
    <w:rsid w:val="006E2288"/>
    <w:rsid w:val="006E3E36"/>
    <w:rsid w:val="006F02D5"/>
    <w:rsid w:val="00703203"/>
    <w:rsid w:val="00705F64"/>
    <w:rsid w:val="00710994"/>
    <w:rsid w:val="00711080"/>
    <w:rsid w:val="007116D6"/>
    <w:rsid w:val="00711BDE"/>
    <w:rsid w:val="007151FC"/>
    <w:rsid w:val="0072049C"/>
    <w:rsid w:val="0072502F"/>
    <w:rsid w:val="00734F2C"/>
    <w:rsid w:val="0074607C"/>
    <w:rsid w:val="00747ECF"/>
    <w:rsid w:val="00750192"/>
    <w:rsid w:val="0076301B"/>
    <w:rsid w:val="00793899"/>
    <w:rsid w:val="00797397"/>
    <w:rsid w:val="007A7420"/>
    <w:rsid w:val="007C71BB"/>
    <w:rsid w:val="007C7753"/>
    <w:rsid w:val="007D01CD"/>
    <w:rsid w:val="007D57CC"/>
    <w:rsid w:val="007E1EF0"/>
    <w:rsid w:val="007F7CC9"/>
    <w:rsid w:val="008005F6"/>
    <w:rsid w:val="00813367"/>
    <w:rsid w:val="00822852"/>
    <w:rsid w:val="00823608"/>
    <w:rsid w:val="0082590A"/>
    <w:rsid w:val="00825E0E"/>
    <w:rsid w:val="008301AA"/>
    <w:rsid w:val="00831D5A"/>
    <w:rsid w:val="00833ECE"/>
    <w:rsid w:val="00834B43"/>
    <w:rsid w:val="00850F35"/>
    <w:rsid w:val="00856752"/>
    <w:rsid w:val="008650DB"/>
    <w:rsid w:val="00865D48"/>
    <w:rsid w:val="008719E0"/>
    <w:rsid w:val="008737AF"/>
    <w:rsid w:val="0088020C"/>
    <w:rsid w:val="00893A49"/>
    <w:rsid w:val="00895B85"/>
    <w:rsid w:val="00897261"/>
    <w:rsid w:val="008B34EA"/>
    <w:rsid w:val="008B47B9"/>
    <w:rsid w:val="008C0452"/>
    <w:rsid w:val="008C1747"/>
    <w:rsid w:val="008C5620"/>
    <w:rsid w:val="008D161E"/>
    <w:rsid w:val="008E3A9D"/>
    <w:rsid w:val="008E48B6"/>
    <w:rsid w:val="008F726E"/>
    <w:rsid w:val="00902C31"/>
    <w:rsid w:val="00907FA2"/>
    <w:rsid w:val="009123C2"/>
    <w:rsid w:val="00922856"/>
    <w:rsid w:val="00922A2F"/>
    <w:rsid w:val="009231F8"/>
    <w:rsid w:val="0092366A"/>
    <w:rsid w:val="00925C5E"/>
    <w:rsid w:val="009270F4"/>
    <w:rsid w:val="00933D07"/>
    <w:rsid w:val="00936D91"/>
    <w:rsid w:val="00941CC5"/>
    <w:rsid w:val="00974040"/>
    <w:rsid w:val="00977E57"/>
    <w:rsid w:val="00982113"/>
    <w:rsid w:val="00982D66"/>
    <w:rsid w:val="00985926"/>
    <w:rsid w:val="0099172D"/>
    <w:rsid w:val="00992E38"/>
    <w:rsid w:val="00993683"/>
    <w:rsid w:val="00996DCD"/>
    <w:rsid w:val="009A53B5"/>
    <w:rsid w:val="009A6F02"/>
    <w:rsid w:val="009B260C"/>
    <w:rsid w:val="009C3E05"/>
    <w:rsid w:val="009C511A"/>
    <w:rsid w:val="009D399C"/>
    <w:rsid w:val="009D59AE"/>
    <w:rsid w:val="009E617A"/>
    <w:rsid w:val="009F651D"/>
    <w:rsid w:val="00A015D2"/>
    <w:rsid w:val="00A01E84"/>
    <w:rsid w:val="00A0293B"/>
    <w:rsid w:val="00A0526E"/>
    <w:rsid w:val="00A07CCF"/>
    <w:rsid w:val="00A2082C"/>
    <w:rsid w:val="00A24CF5"/>
    <w:rsid w:val="00A25B58"/>
    <w:rsid w:val="00A40A15"/>
    <w:rsid w:val="00A541BE"/>
    <w:rsid w:val="00A608A1"/>
    <w:rsid w:val="00A61BCB"/>
    <w:rsid w:val="00A70632"/>
    <w:rsid w:val="00A746DA"/>
    <w:rsid w:val="00A77420"/>
    <w:rsid w:val="00A80767"/>
    <w:rsid w:val="00A8363B"/>
    <w:rsid w:val="00A84AD0"/>
    <w:rsid w:val="00A9289F"/>
    <w:rsid w:val="00AA18C4"/>
    <w:rsid w:val="00AA30F8"/>
    <w:rsid w:val="00AA4776"/>
    <w:rsid w:val="00AA66A4"/>
    <w:rsid w:val="00AB376D"/>
    <w:rsid w:val="00AB56BC"/>
    <w:rsid w:val="00AC443B"/>
    <w:rsid w:val="00AD3280"/>
    <w:rsid w:val="00AD7B92"/>
    <w:rsid w:val="00AE19C2"/>
    <w:rsid w:val="00AE47BE"/>
    <w:rsid w:val="00AE5011"/>
    <w:rsid w:val="00AF2417"/>
    <w:rsid w:val="00B00284"/>
    <w:rsid w:val="00B05E1B"/>
    <w:rsid w:val="00B07C75"/>
    <w:rsid w:val="00B14E16"/>
    <w:rsid w:val="00B1566E"/>
    <w:rsid w:val="00B21086"/>
    <w:rsid w:val="00B246CD"/>
    <w:rsid w:val="00B33093"/>
    <w:rsid w:val="00B406DD"/>
    <w:rsid w:val="00B47B1F"/>
    <w:rsid w:val="00B56B4D"/>
    <w:rsid w:val="00B72DB8"/>
    <w:rsid w:val="00B90E5C"/>
    <w:rsid w:val="00B9574D"/>
    <w:rsid w:val="00B97892"/>
    <w:rsid w:val="00BA137D"/>
    <w:rsid w:val="00BA556F"/>
    <w:rsid w:val="00BB6AF3"/>
    <w:rsid w:val="00BB7AE9"/>
    <w:rsid w:val="00BC4F15"/>
    <w:rsid w:val="00BD2F57"/>
    <w:rsid w:val="00BD7B07"/>
    <w:rsid w:val="00BD7D3E"/>
    <w:rsid w:val="00BE7234"/>
    <w:rsid w:val="00BF3218"/>
    <w:rsid w:val="00BF64BA"/>
    <w:rsid w:val="00C010B8"/>
    <w:rsid w:val="00C02CA6"/>
    <w:rsid w:val="00C068F2"/>
    <w:rsid w:val="00C07CCD"/>
    <w:rsid w:val="00C12AB9"/>
    <w:rsid w:val="00C1436F"/>
    <w:rsid w:val="00C21DAD"/>
    <w:rsid w:val="00C23832"/>
    <w:rsid w:val="00C33F6B"/>
    <w:rsid w:val="00C47A58"/>
    <w:rsid w:val="00C505AE"/>
    <w:rsid w:val="00C609C8"/>
    <w:rsid w:val="00C77A3B"/>
    <w:rsid w:val="00C815E9"/>
    <w:rsid w:val="00C84B96"/>
    <w:rsid w:val="00C87053"/>
    <w:rsid w:val="00CA24E8"/>
    <w:rsid w:val="00CA4D47"/>
    <w:rsid w:val="00CB435C"/>
    <w:rsid w:val="00CC0CB1"/>
    <w:rsid w:val="00CC530F"/>
    <w:rsid w:val="00CC57C5"/>
    <w:rsid w:val="00CD4590"/>
    <w:rsid w:val="00CF315D"/>
    <w:rsid w:val="00CF3FA9"/>
    <w:rsid w:val="00CF58E2"/>
    <w:rsid w:val="00D0130C"/>
    <w:rsid w:val="00D017A5"/>
    <w:rsid w:val="00D1117D"/>
    <w:rsid w:val="00D12482"/>
    <w:rsid w:val="00D16B9B"/>
    <w:rsid w:val="00D17889"/>
    <w:rsid w:val="00D21C89"/>
    <w:rsid w:val="00D23C34"/>
    <w:rsid w:val="00D350DF"/>
    <w:rsid w:val="00D35289"/>
    <w:rsid w:val="00D36739"/>
    <w:rsid w:val="00D44380"/>
    <w:rsid w:val="00D55F09"/>
    <w:rsid w:val="00D56CAF"/>
    <w:rsid w:val="00D62AD0"/>
    <w:rsid w:val="00D66384"/>
    <w:rsid w:val="00D7200B"/>
    <w:rsid w:val="00D81D97"/>
    <w:rsid w:val="00D866A1"/>
    <w:rsid w:val="00D90927"/>
    <w:rsid w:val="00D91DD3"/>
    <w:rsid w:val="00DA25EA"/>
    <w:rsid w:val="00DC478B"/>
    <w:rsid w:val="00DC5731"/>
    <w:rsid w:val="00DC7150"/>
    <w:rsid w:val="00DD1B4B"/>
    <w:rsid w:val="00DD7F2B"/>
    <w:rsid w:val="00DE24D7"/>
    <w:rsid w:val="00DF2A1B"/>
    <w:rsid w:val="00DF3D6B"/>
    <w:rsid w:val="00DF6F6F"/>
    <w:rsid w:val="00E02004"/>
    <w:rsid w:val="00E079EF"/>
    <w:rsid w:val="00E13D7D"/>
    <w:rsid w:val="00E14DDF"/>
    <w:rsid w:val="00E16208"/>
    <w:rsid w:val="00E211E8"/>
    <w:rsid w:val="00E31A7C"/>
    <w:rsid w:val="00E4242D"/>
    <w:rsid w:val="00E4361C"/>
    <w:rsid w:val="00E47110"/>
    <w:rsid w:val="00E666FB"/>
    <w:rsid w:val="00E82A9F"/>
    <w:rsid w:val="00E95979"/>
    <w:rsid w:val="00EB0042"/>
    <w:rsid w:val="00EB1A22"/>
    <w:rsid w:val="00EB33A8"/>
    <w:rsid w:val="00EB45EA"/>
    <w:rsid w:val="00EB7808"/>
    <w:rsid w:val="00EC01B1"/>
    <w:rsid w:val="00EC039E"/>
    <w:rsid w:val="00EC14BA"/>
    <w:rsid w:val="00EE1CCB"/>
    <w:rsid w:val="00EE50B0"/>
    <w:rsid w:val="00EF3C46"/>
    <w:rsid w:val="00F27FC2"/>
    <w:rsid w:val="00F34721"/>
    <w:rsid w:val="00F45A52"/>
    <w:rsid w:val="00F50EFB"/>
    <w:rsid w:val="00F5180C"/>
    <w:rsid w:val="00F52381"/>
    <w:rsid w:val="00F55CFC"/>
    <w:rsid w:val="00F60A52"/>
    <w:rsid w:val="00F62DC0"/>
    <w:rsid w:val="00F63F66"/>
    <w:rsid w:val="00F80F69"/>
    <w:rsid w:val="00F911F6"/>
    <w:rsid w:val="00F97C0E"/>
    <w:rsid w:val="00FA1E17"/>
    <w:rsid w:val="00FB4A91"/>
    <w:rsid w:val="00FB4E2B"/>
    <w:rsid w:val="00FB53E4"/>
    <w:rsid w:val="00FC37EB"/>
    <w:rsid w:val="00FC767F"/>
    <w:rsid w:val="00FD6F74"/>
    <w:rsid w:val="00FE102E"/>
    <w:rsid w:val="00FE2978"/>
    <w:rsid w:val="00FE3CEC"/>
    <w:rsid w:val="00FE5C25"/>
    <w:rsid w:val="00FF3A62"/>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F56"/>
    <w:rPr>
      <w:sz w:val="18"/>
      <w:szCs w:val="18"/>
    </w:rPr>
  </w:style>
  <w:style w:type="paragraph" w:styleId="a4">
    <w:name w:val="footer"/>
    <w:basedOn w:val="a"/>
    <w:link w:val="Char0"/>
    <w:uiPriority w:val="99"/>
    <w:unhideWhenUsed/>
    <w:rsid w:val="002B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2B3F56"/>
    <w:rPr>
      <w:sz w:val="18"/>
      <w:szCs w:val="18"/>
    </w:rPr>
  </w:style>
  <w:style w:type="paragraph" w:styleId="a5">
    <w:name w:val="Normal (Web)"/>
    <w:basedOn w:val="a"/>
    <w:uiPriority w:val="99"/>
    <w:semiHidden/>
    <w:unhideWhenUsed/>
    <w:rsid w:val="002B3F5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B3F56"/>
    <w:pPr>
      <w:ind w:firstLineChars="200" w:firstLine="420"/>
    </w:pPr>
  </w:style>
  <w:style w:type="table" w:styleId="a7">
    <w:name w:val="Table Grid"/>
    <w:basedOn w:val="a1"/>
    <w:rsid w:val="00207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B59C0"/>
    <w:rPr>
      <w:sz w:val="18"/>
      <w:szCs w:val="18"/>
    </w:rPr>
  </w:style>
  <w:style w:type="character" w:customStyle="1" w:styleId="Char1">
    <w:name w:val="批注框文本 Char"/>
    <w:basedOn w:val="a0"/>
    <w:link w:val="a8"/>
    <w:uiPriority w:val="99"/>
    <w:semiHidden/>
    <w:rsid w:val="002B59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F56"/>
    <w:rPr>
      <w:sz w:val="18"/>
      <w:szCs w:val="18"/>
    </w:rPr>
  </w:style>
  <w:style w:type="paragraph" w:styleId="a4">
    <w:name w:val="footer"/>
    <w:basedOn w:val="a"/>
    <w:link w:val="Char0"/>
    <w:uiPriority w:val="99"/>
    <w:unhideWhenUsed/>
    <w:rsid w:val="002B3F56"/>
    <w:pPr>
      <w:tabs>
        <w:tab w:val="center" w:pos="4153"/>
        <w:tab w:val="right" w:pos="8306"/>
      </w:tabs>
      <w:snapToGrid w:val="0"/>
      <w:jc w:val="left"/>
    </w:pPr>
    <w:rPr>
      <w:sz w:val="18"/>
      <w:szCs w:val="18"/>
    </w:rPr>
  </w:style>
  <w:style w:type="character" w:customStyle="1" w:styleId="Char0">
    <w:name w:val="页脚 Char"/>
    <w:basedOn w:val="a0"/>
    <w:link w:val="a4"/>
    <w:uiPriority w:val="99"/>
    <w:rsid w:val="002B3F56"/>
    <w:rPr>
      <w:sz w:val="18"/>
      <w:szCs w:val="18"/>
    </w:rPr>
  </w:style>
  <w:style w:type="paragraph" w:styleId="a5">
    <w:name w:val="Normal (Web)"/>
    <w:basedOn w:val="a"/>
    <w:uiPriority w:val="99"/>
    <w:semiHidden/>
    <w:unhideWhenUsed/>
    <w:rsid w:val="002B3F5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B3F56"/>
    <w:pPr>
      <w:ind w:firstLineChars="200" w:firstLine="420"/>
    </w:pPr>
  </w:style>
  <w:style w:type="table" w:styleId="a7">
    <w:name w:val="Table Grid"/>
    <w:basedOn w:val="a1"/>
    <w:rsid w:val="00207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B59C0"/>
    <w:rPr>
      <w:sz w:val="18"/>
      <w:szCs w:val="18"/>
    </w:rPr>
  </w:style>
  <w:style w:type="character" w:customStyle="1" w:styleId="Char1">
    <w:name w:val="批注框文本 Char"/>
    <w:basedOn w:val="a0"/>
    <w:link w:val="a8"/>
    <w:uiPriority w:val="99"/>
    <w:semiHidden/>
    <w:rsid w:val="002B59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9126">
      <w:bodyDiv w:val="1"/>
      <w:marLeft w:val="0"/>
      <w:marRight w:val="0"/>
      <w:marTop w:val="0"/>
      <w:marBottom w:val="0"/>
      <w:divBdr>
        <w:top w:val="none" w:sz="0" w:space="0" w:color="auto"/>
        <w:left w:val="none" w:sz="0" w:space="0" w:color="auto"/>
        <w:bottom w:val="none" w:sz="0" w:space="0" w:color="auto"/>
        <w:right w:val="none" w:sz="0" w:space="0" w:color="auto"/>
      </w:divBdr>
    </w:div>
    <w:div w:id="820275213">
      <w:bodyDiv w:val="1"/>
      <w:marLeft w:val="0"/>
      <w:marRight w:val="0"/>
      <w:marTop w:val="0"/>
      <w:marBottom w:val="0"/>
      <w:divBdr>
        <w:top w:val="none" w:sz="0" w:space="0" w:color="auto"/>
        <w:left w:val="none" w:sz="0" w:space="0" w:color="auto"/>
        <w:bottom w:val="none" w:sz="0" w:space="0" w:color="auto"/>
        <w:right w:val="none" w:sz="0" w:space="0" w:color="auto"/>
      </w:divBdr>
      <w:divsChild>
        <w:div w:id="1488092000">
          <w:marLeft w:val="0"/>
          <w:marRight w:val="0"/>
          <w:marTop w:val="0"/>
          <w:marBottom w:val="0"/>
          <w:divBdr>
            <w:top w:val="none" w:sz="0" w:space="0" w:color="auto"/>
            <w:left w:val="none" w:sz="0" w:space="0" w:color="auto"/>
            <w:bottom w:val="none" w:sz="0" w:space="0" w:color="auto"/>
            <w:right w:val="none" w:sz="0" w:space="0" w:color="auto"/>
          </w:divBdr>
          <w:divsChild>
            <w:div w:id="299265778">
              <w:marLeft w:val="0"/>
              <w:marRight w:val="0"/>
              <w:marTop w:val="0"/>
              <w:marBottom w:val="0"/>
              <w:divBdr>
                <w:top w:val="none" w:sz="0" w:space="0" w:color="auto"/>
                <w:left w:val="none" w:sz="0" w:space="0" w:color="auto"/>
                <w:bottom w:val="none" w:sz="0" w:space="0" w:color="auto"/>
                <w:right w:val="none" w:sz="0" w:space="0" w:color="auto"/>
              </w:divBdr>
              <w:divsChild>
                <w:div w:id="1961297007">
                  <w:marLeft w:val="0"/>
                  <w:marRight w:val="0"/>
                  <w:marTop w:val="0"/>
                  <w:marBottom w:val="0"/>
                  <w:divBdr>
                    <w:top w:val="none" w:sz="0" w:space="0" w:color="auto"/>
                    <w:left w:val="none" w:sz="0" w:space="0" w:color="auto"/>
                    <w:bottom w:val="none" w:sz="0" w:space="0" w:color="auto"/>
                    <w:right w:val="none" w:sz="0" w:space="0" w:color="auto"/>
                  </w:divBdr>
                  <w:divsChild>
                    <w:div w:id="778450821">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 w:id="937952728">
      <w:bodyDiv w:val="1"/>
      <w:marLeft w:val="0"/>
      <w:marRight w:val="0"/>
      <w:marTop w:val="0"/>
      <w:marBottom w:val="0"/>
      <w:divBdr>
        <w:top w:val="none" w:sz="0" w:space="0" w:color="auto"/>
        <w:left w:val="none" w:sz="0" w:space="0" w:color="auto"/>
        <w:bottom w:val="none" w:sz="0" w:space="0" w:color="auto"/>
        <w:right w:val="none" w:sz="0" w:space="0" w:color="auto"/>
      </w:divBdr>
    </w:div>
    <w:div w:id="1692799201">
      <w:bodyDiv w:val="1"/>
      <w:marLeft w:val="0"/>
      <w:marRight w:val="0"/>
      <w:marTop w:val="0"/>
      <w:marBottom w:val="0"/>
      <w:divBdr>
        <w:top w:val="none" w:sz="0" w:space="0" w:color="auto"/>
        <w:left w:val="none" w:sz="0" w:space="0" w:color="auto"/>
        <w:bottom w:val="none" w:sz="0" w:space="0" w:color="auto"/>
        <w:right w:val="none" w:sz="0" w:space="0" w:color="auto"/>
      </w:divBdr>
    </w:div>
    <w:div w:id="20028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570</Words>
  <Characters>3254</Characters>
  <Application>Microsoft Office Word</Application>
  <DocSecurity>0</DocSecurity>
  <Lines>27</Lines>
  <Paragraphs>7</Paragraphs>
  <ScaleCrop>false</ScaleCrop>
  <Company>china</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14</cp:revision>
  <dcterms:created xsi:type="dcterms:W3CDTF">2020-02-26T02:14:00Z</dcterms:created>
  <dcterms:modified xsi:type="dcterms:W3CDTF">2020-04-09T03:30:00Z</dcterms:modified>
</cp:coreProperties>
</file>