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HAnsi" w:hAnsiTheme="majorHAnsi" w:cstheme="majorBidi"/>
          <w:b/>
          <w:bCs/>
          <w:sz w:val="32"/>
          <w:szCs w:val="32"/>
        </w:rPr>
      </w:pPr>
      <w:bookmarkStart w:id="0" w:name="_GoBack"/>
      <w:bookmarkEnd w:id="0"/>
      <w:r>
        <w:rPr>
          <w:rFonts w:hint="eastAsia" w:asciiTheme="majorHAnsi" w:hAnsiTheme="majorHAnsi" w:cstheme="majorBidi"/>
          <w:b/>
          <w:bCs/>
          <w:sz w:val="32"/>
          <w:szCs w:val="32"/>
        </w:rPr>
        <w:t>成飞南航</w:t>
      </w:r>
      <w:r>
        <w:rPr>
          <w:rFonts w:hint="eastAsia" w:asciiTheme="majorHAnsi" w:hAnsiTheme="majorHAnsi" w:cstheme="majorBidi"/>
          <w:b/>
          <w:bCs/>
          <w:color w:val="FF0000"/>
          <w:sz w:val="32"/>
          <w:szCs w:val="32"/>
        </w:rPr>
        <w:t>“蓝天创客”</w:t>
      </w:r>
      <w:r>
        <w:rPr>
          <w:rFonts w:hint="eastAsia" w:asciiTheme="majorHAnsi" w:hAnsiTheme="majorHAnsi" w:cstheme="majorBidi"/>
          <w:b/>
          <w:bCs/>
          <w:sz w:val="32"/>
          <w:szCs w:val="32"/>
        </w:rPr>
        <w:t>科创项目合作解决研究问题</w:t>
      </w:r>
    </w:p>
    <w:p>
      <w:pPr>
        <w:ind w:firstLine="280" w:firstLineChars="100"/>
      </w:pPr>
      <w:r>
        <w:rPr>
          <w:rFonts w:hint="eastAsia"/>
          <w:sz w:val="28"/>
        </w:rPr>
        <w:t>各实验室提供给的解决研究问题或方向如附表。</w:t>
      </w:r>
    </w:p>
    <w:p>
      <w:pPr>
        <w:jc w:val="left"/>
        <w:rPr>
          <w:sz w:val="28"/>
        </w:rPr>
      </w:pPr>
      <w:r>
        <w:rPr>
          <w:rFonts w:hint="eastAsia"/>
          <w:sz w:val="28"/>
        </w:rPr>
        <w:t>附表</w:t>
      </w:r>
    </w:p>
    <w:p>
      <w:pPr>
        <w:jc w:val="center"/>
        <w:rPr>
          <w:sz w:val="28"/>
          <w:szCs w:val="28"/>
        </w:rPr>
      </w:pPr>
      <w:r>
        <w:rPr>
          <w:rFonts w:hint="eastAsia"/>
          <w:sz w:val="28"/>
          <w:szCs w:val="28"/>
        </w:rPr>
        <w:t>校园俱乐部研究方向或内容</w:t>
      </w:r>
    </w:p>
    <w:tbl>
      <w:tblPr>
        <w:tblStyle w:val="8"/>
        <w:tblW w:w="1112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2463"/>
        <w:gridCol w:w="3375"/>
        <w:gridCol w:w="3234"/>
        <w:gridCol w:w="13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75" w:type="dxa"/>
            <w:vAlign w:val="center"/>
          </w:tcPr>
          <w:p>
            <w:pPr>
              <w:jc w:val="center"/>
              <w:rPr>
                <w:sz w:val="24"/>
              </w:rPr>
            </w:pPr>
          </w:p>
        </w:tc>
        <w:tc>
          <w:tcPr>
            <w:tcW w:w="2463" w:type="dxa"/>
            <w:vAlign w:val="center"/>
          </w:tcPr>
          <w:p>
            <w:pPr>
              <w:jc w:val="center"/>
              <w:rPr>
                <w:sz w:val="24"/>
              </w:rPr>
            </w:pPr>
            <w:r>
              <w:rPr>
                <w:rFonts w:hint="eastAsia"/>
                <w:sz w:val="24"/>
              </w:rPr>
              <w:t>研究项目名称</w:t>
            </w:r>
          </w:p>
        </w:tc>
        <w:tc>
          <w:tcPr>
            <w:tcW w:w="3375" w:type="dxa"/>
            <w:vAlign w:val="center"/>
          </w:tcPr>
          <w:p>
            <w:pPr>
              <w:jc w:val="center"/>
              <w:rPr>
                <w:sz w:val="24"/>
              </w:rPr>
            </w:pPr>
            <w:r>
              <w:rPr>
                <w:rFonts w:hint="eastAsia"/>
                <w:sz w:val="24"/>
              </w:rPr>
              <w:t>项目需求背景</w:t>
            </w:r>
          </w:p>
        </w:tc>
        <w:tc>
          <w:tcPr>
            <w:tcW w:w="3234" w:type="dxa"/>
            <w:vAlign w:val="center"/>
          </w:tcPr>
          <w:p>
            <w:pPr>
              <w:jc w:val="center"/>
              <w:rPr>
                <w:sz w:val="24"/>
              </w:rPr>
            </w:pPr>
            <w:r>
              <w:rPr>
                <w:rFonts w:hint="eastAsia"/>
                <w:sz w:val="24"/>
              </w:rPr>
              <w:t>解决的问题</w:t>
            </w:r>
          </w:p>
        </w:tc>
        <w:tc>
          <w:tcPr>
            <w:tcW w:w="1374" w:type="dxa"/>
            <w:vAlign w:val="center"/>
          </w:tcPr>
          <w:p>
            <w:pPr>
              <w:jc w:val="center"/>
              <w:rPr>
                <w:sz w:val="24"/>
              </w:rPr>
            </w:pPr>
            <w:r>
              <w:rPr>
                <w:rFonts w:hint="eastAsia"/>
                <w:sz w:val="24"/>
              </w:rPr>
              <w:t>提出问题的实验室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75" w:type="dxa"/>
            <w:vAlign w:val="center"/>
          </w:tcPr>
          <w:p>
            <w:pPr>
              <w:jc w:val="center"/>
              <w:rPr>
                <w:sz w:val="24"/>
              </w:rPr>
            </w:pPr>
            <w:r>
              <w:rPr>
                <w:rFonts w:hint="eastAsia"/>
                <w:sz w:val="24"/>
              </w:rPr>
              <w:t>1</w:t>
            </w:r>
          </w:p>
        </w:tc>
        <w:tc>
          <w:tcPr>
            <w:tcW w:w="2463" w:type="dxa"/>
            <w:vAlign w:val="center"/>
          </w:tcPr>
          <w:p>
            <w:pPr>
              <w:jc w:val="center"/>
              <w:rPr>
                <w:sz w:val="24"/>
              </w:rPr>
            </w:pPr>
            <w:r>
              <w:rPr>
                <w:rFonts w:hint="eastAsia"/>
                <w:sz w:val="24"/>
              </w:rPr>
              <w:t>激光铺粉3D打印辅助支撑的设计及优化</w:t>
            </w:r>
          </w:p>
        </w:tc>
        <w:tc>
          <w:tcPr>
            <w:tcW w:w="3375" w:type="dxa"/>
            <w:vAlign w:val="center"/>
          </w:tcPr>
          <w:p>
            <w:pPr>
              <w:jc w:val="center"/>
              <w:rPr>
                <w:sz w:val="24"/>
              </w:rPr>
            </w:pPr>
            <w:r>
              <w:rPr>
                <w:rFonts w:hint="eastAsia"/>
                <w:sz w:val="24"/>
              </w:rPr>
              <w:t>激光铺粉成型时，悬空结构需要添加辅助支撑结构，辅助支撑结构要求成型时对悬空结构有较好的支撑作用，成型后较为方便去除，所以一般设计成空心点阵结构。项目的主要难点在于空心点阵结构形式优化及零件工艺设计模块化建模。</w:t>
            </w:r>
          </w:p>
        </w:tc>
        <w:tc>
          <w:tcPr>
            <w:tcW w:w="3234" w:type="dxa"/>
            <w:vAlign w:val="center"/>
          </w:tcPr>
          <w:p>
            <w:pPr>
              <w:jc w:val="center"/>
              <w:rPr>
                <w:sz w:val="24"/>
              </w:rPr>
            </w:pPr>
            <w:r>
              <w:rPr>
                <w:rFonts w:hint="eastAsia"/>
                <w:sz w:val="24"/>
              </w:rPr>
              <w:t>1、根据激光铺粉工艺成型特点，利用catia软件设计出最优的空心点阵结构。</w:t>
            </w:r>
          </w:p>
          <w:p>
            <w:pPr>
              <w:jc w:val="center"/>
              <w:rPr>
                <w:sz w:val="24"/>
              </w:rPr>
            </w:pPr>
            <w:r>
              <w:rPr>
                <w:rFonts w:hint="eastAsia"/>
                <w:sz w:val="24"/>
              </w:rPr>
              <w:t>2、将空心点阵模块化，适用与不同悬空结构的工艺建模。</w:t>
            </w:r>
          </w:p>
          <w:p>
            <w:pPr>
              <w:jc w:val="center"/>
              <w:rPr>
                <w:sz w:val="24"/>
              </w:rPr>
            </w:pPr>
            <w:r>
              <w:rPr>
                <w:rFonts w:hint="eastAsia"/>
                <w:sz w:val="24"/>
              </w:rPr>
              <w:t>3、解决建模格式和3D打印执行软件格式转化问题。</w:t>
            </w:r>
          </w:p>
        </w:tc>
        <w:tc>
          <w:tcPr>
            <w:tcW w:w="1374" w:type="dxa"/>
            <w:vAlign w:val="center"/>
          </w:tcPr>
          <w:p>
            <w:pPr>
              <w:jc w:val="center"/>
              <w:rPr>
                <w:sz w:val="24"/>
              </w:rPr>
            </w:pPr>
            <w:r>
              <w:rPr>
                <w:rFonts w:hint="eastAsia"/>
                <w:sz w:val="24"/>
              </w:rPr>
              <w:t>工艺研究实验室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75" w:type="dxa"/>
            <w:vAlign w:val="center"/>
          </w:tcPr>
          <w:p>
            <w:pPr>
              <w:jc w:val="center"/>
              <w:rPr>
                <w:sz w:val="24"/>
              </w:rPr>
            </w:pPr>
            <w:r>
              <w:rPr>
                <w:rFonts w:hint="eastAsia"/>
                <w:sz w:val="24"/>
              </w:rPr>
              <w:t>2</w:t>
            </w:r>
          </w:p>
        </w:tc>
        <w:tc>
          <w:tcPr>
            <w:tcW w:w="2463" w:type="dxa"/>
            <w:vAlign w:val="center"/>
          </w:tcPr>
          <w:p>
            <w:pPr>
              <w:jc w:val="center"/>
              <w:rPr>
                <w:sz w:val="24"/>
              </w:rPr>
            </w:pPr>
            <w:r>
              <w:rPr>
                <w:rFonts w:hint="eastAsia"/>
                <w:sz w:val="24"/>
              </w:rPr>
              <w:t>阵列式多点柔性支撑装置设计</w:t>
            </w:r>
          </w:p>
        </w:tc>
        <w:tc>
          <w:tcPr>
            <w:tcW w:w="3375" w:type="dxa"/>
            <w:vAlign w:val="center"/>
          </w:tcPr>
          <w:p>
            <w:pPr>
              <w:jc w:val="center"/>
              <w:rPr>
                <w:sz w:val="24"/>
              </w:rPr>
            </w:pPr>
            <w:r>
              <w:rPr>
                <w:rFonts w:hint="eastAsia"/>
                <w:sz w:val="24"/>
              </w:rPr>
              <w:t>在零件或部件加工时，为了减小加工变形，需要阵列式多点柔性支撑装置对零件或部件进行柔性定位和支撑。</w:t>
            </w:r>
          </w:p>
        </w:tc>
        <w:tc>
          <w:tcPr>
            <w:tcW w:w="3234" w:type="dxa"/>
            <w:vAlign w:val="center"/>
          </w:tcPr>
          <w:p>
            <w:pPr>
              <w:jc w:val="center"/>
              <w:rPr>
                <w:sz w:val="24"/>
              </w:rPr>
            </w:pPr>
            <w:r>
              <w:rPr>
                <w:rFonts w:hint="eastAsia"/>
                <w:sz w:val="24"/>
              </w:rPr>
              <w:t>1、阵列式多点柔性支撑装置机械结构设计。</w:t>
            </w:r>
          </w:p>
          <w:p>
            <w:pPr>
              <w:jc w:val="center"/>
              <w:rPr>
                <w:sz w:val="24"/>
              </w:rPr>
            </w:pPr>
            <w:r>
              <w:rPr>
                <w:rFonts w:hint="eastAsia"/>
                <w:sz w:val="24"/>
              </w:rPr>
              <w:t>2、阵列式多点柔性支撑装置成品选型。</w:t>
            </w:r>
          </w:p>
        </w:tc>
        <w:tc>
          <w:tcPr>
            <w:tcW w:w="1374" w:type="dxa"/>
            <w:vAlign w:val="center"/>
          </w:tcPr>
          <w:p>
            <w:pPr>
              <w:jc w:val="center"/>
              <w:rPr>
                <w:sz w:val="24"/>
              </w:rPr>
            </w:pPr>
            <w:r>
              <w:rPr>
                <w:rFonts w:hint="eastAsia"/>
                <w:sz w:val="24"/>
              </w:rPr>
              <w:t>航空智能装备技术研究实验室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675" w:type="dxa"/>
            <w:vAlign w:val="center"/>
          </w:tcPr>
          <w:p>
            <w:pPr>
              <w:jc w:val="center"/>
              <w:rPr>
                <w:sz w:val="24"/>
              </w:rPr>
            </w:pPr>
            <w:r>
              <w:rPr>
                <w:rFonts w:hint="eastAsia"/>
                <w:sz w:val="24"/>
              </w:rPr>
              <w:t>3</w:t>
            </w:r>
          </w:p>
        </w:tc>
        <w:tc>
          <w:tcPr>
            <w:tcW w:w="2463" w:type="dxa"/>
            <w:vAlign w:val="center"/>
          </w:tcPr>
          <w:p>
            <w:pPr>
              <w:jc w:val="center"/>
              <w:rPr>
                <w:sz w:val="24"/>
              </w:rPr>
            </w:pPr>
            <w:r>
              <w:rPr>
                <w:rFonts w:hint="eastAsia"/>
                <w:sz w:val="24"/>
              </w:rPr>
              <w:t>H01-103H封孔胶最优固化条件研究</w:t>
            </w:r>
          </w:p>
        </w:tc>
        <w:tc>
          <w:tcPr>
            <w:tcW w:w="3375" w:type="dxa"/>
            <w:vAlign w:val="center"/>
          </w:tcPr>
          <w:p>
            <w:pPr>
              <w:jc w:val="center"/>
              <w:rPr>
                <w:sz w:val="24"/>
              </w:rPr>
            </w:pPr>
            <w:r>
              <w:rPr>
                <w:rFonts w:hint="eastAsia"/>
                <w:sz w:val="24"/>
              </w:rPr>
              <w:t>现有材料规范上给出的可选固化参数较少，灵活性较差，生产效率低下</w:t>
            </w:r>
          </w:p>
        </w:tc>
        <w:tc>
          <w:tcPr>
            <w:tcW w:w="3234" w:type="dxa"/>
            <w:vAlign w:val="center"/>
          </w:tcPr>
          <w:p>
            <w:pPr>
              <w:jc w:val="center"/>
              <w:rPr>
                <w:sz w:val="24"/>
              </w:rPr>
            </w:pPr>
            <w:r>
              <w:rPr>
                <w:rFonts w:hint="eastAsia"/>
                <w:sz w:val="24"/>
              </w:rPr>
              <w:t>通过DSC曲线寻求更多的可供选择的固化参数</w:t>
            </w:r>
          </w:p>
        </w:tc>
        <w:tc>
          <w:tcPr>
            <w:tcW w:w="1374" w:type="dxa"/>
            <w:vAlign w:val="center"/>
          </w:tcPr>
          <w:p>
            <w:pPr>
              <w:jc w:val="center"/>
              <w:rPr>
                <w:sz w:val="24"/>
              </w:rPr>
            </w:pPr>
            <w:r>
              <w:rPr>
                <w:rFonts w:hint="eastAsia"/>
                <w:sz w:val="24"/>
              </w:rPr>
              <w:t>复合材料 工程应用研究实验室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75" w:type="dxa"/>
            <w:vAlign w:val="center"/>
          </w:tcPr>
          <w:p>
            <w:pPr>
              <w:jc w:val="center"/>
              <w:rPr>
                <w:sz w:val="24"/>
              </w:rPr>
            </w:pPr>
            <w:r>
              <w:rPr>
                <w:rFonts w:hint="eastAsia"/>
                <w:sz w:val="24"/>
              </w:rPr>
              <w:t>4</w:t>
            </w:r>
          </w:p>
        </w:tc>
        <w:tc>
          <w:tcPr>
            <w:tcW w:w="2463" w:type="dxa"/>
            <w:vAlign w:val="center"/>
          </w:tcPr>
          <w:p>
            <w:pPr>
              <w:wordWrap w:val="0"/>
              <w:spacing w:before="100" w:beforeAutospacing="1" w:after="100" w:afterAutospacing="1"/>
              <w:rPr>
                <w:rFonts w:ascii="宋体" w:hAnsi="宋体" w:cs="宋体"/>
                <w:sz w:val="24"/>
              </w:rPr>
            </w:pPr>
            <w:r>
              <w:t xml:space="preserve">数控机床关键部件运行振动信号监测及分析 </w:t>
            </w:r>
          </w:p>
        </w:tc>
        <w:tc>
          <w:tcPr>
            <w:tcW w:w="3375" w:type="dxa"/>
            <w:vAlign w:val="center"/>
          </w:tcPr>
          <w:p>
            <w:pPr>
              <w:wordWrap w:val="0"/>
              <w:spacing w:before="100" w:beforeAutospacing="1" w:after="100" w:afterAutospacing="1"/>
              <w:rPr>
                <w:rFonts w:ascii="宋体" w:hAnsi="宋体" w:cs="宋体"/>
                <w:sz w:val="24"/>
              </w:rPr>
            </w:pPr>
            <w:r>
              <w:t xml:space="preserve">数控机床关键部件（如主轴、丝杠等）一旦出了故障，将会在机床运行时产生振动、噪声等异常现象。目前，数控机床缺乏相应的关键部件振动信号监测方法，故障部位和振动特征频率之间的关系也待研究。 </w:t>
            </w:r>
          </w:p>
        </w:tc>
        <w:tc>
          <w:tcPr>
            <w:tcW w:w="3234" w:type="dxa"/>
            <w:vAlign w:val="center"/>
          </w:tcPr>
          <w:p>
            <w:pPr>
              <w:wordWrap w:val="0"/>
              <w:spacing w:before="100" w:beforeAutospacing="1" w:after="100" w:afterAutospacing="1"/>
              <w:rPr>
                <w:sz w:val="24"/>
              </w:rPr>
            </w:pPr>
            <w:r>
              <w:t xml:space="preserve">1.利用振动传感器及检测仪器，实现机床关键部件传感器铺设及振动信号采集； </w:t>
            </w:r>
          </w:p>
          <w:p>
            <w:pPr>
              <w:wordWrap w:val="0"/>
              <w:spacing w:before="100" w:beforeAutospacing="1" w:after="100" w:afterAutospacing="1"/>
              <w:rPr>
                <w:rFonts w:ascii="宋体" w:hAnsi="宋体" w:cs="宋体"/>
                <w:sz w:val="24"/>
              </w:rPr>
            </w:pPr>
            <w:r>
              <w:t xml:space="preserve">2.采集部件运行过程中的振动信号，分析故障现象与振动信号特征频率之间的关系。 </w:t>
            </w:r>
          </w:p>
        </w:tc>
        <w:tc>
          <w:tcPr>
            <w:tcW w:w="1374" w:type="dxa"/>
            <w:vAlign w:val="center"/>
          </w:tcPr>
          <w:p>
            <w:pPr>
              <w:wordWrap w:val="0"/>
              <w:spacing w:before="100" w:beforeAutospacing="1" w:after="100" w:afterAutospacing="1"/>
              <w:rPr>
                <w:rFonts w:ascii="宋体" w:hAnsi="宋体" w:cs="宋体"/>
                <w:sz w:val="24"/>
              </w:rPr>
            </w:pPr>
            <w:r>
              <w:t xml:space="preserve">数控加工技术实验室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75" w:type="dxa"/>
            <w:vAlign w:val="center"/>
          </w:tcPr>
          <w:p>
            <w:pPr>
              <w:jc w:val="center"/>
              <w:rPr>
                <w:sz w:val="24"/>
              </w:rPr>
            </w:pPr>
            <w:r>
              <w:rPr>
                <w:rFonts w:hint="eastAsia"/>
                <w:sz w:val="24"/>
              </w:rPr>
              <w:t>5</w:t>
            </w:r>
          </w:p>
        </w:tc>
        <w:tc>
          <w:tcPr>
            <w:tcW w:w="2463" w:type="dxa"/>
            <w:vAlign w:val="center"/>
          </w:tcPr>
          <w:p>
            <w:pPr>
              <w:wordWrap w:val="0"/>
              <w:spacing w:before="100" w:beforeAutospacing="1" w:after="100" w:afterAutospacing="1"/>
              <w:jc w:val="center"/>
              <w:rPr>
                <w:rFonts w:ascii="宋体" w:hAnsi="宋体" w:cs="宋体"/>
                <w:sz w:val="24"/>
              </w:rPr>
            </w:pPr>
            <w:r>
              <w:t xml:space="preserve">数控加工过程刀具切削力状态监测 </w:t>
            </w:r>
          </w:p>
        </w:tc>
        <w:tc>
          <w:tcPr>
            <w:tcW w:w="3375" w:type="dxa"/>
            <w:vAlign w:val="center"/>
          </w:tcPr>
          <w:p>
            <w:pPr>
              <w:wordWrap w:val="0"/>
              <w:spacing w:before="100" w:beforeAutospacing="1" w:after="100" w:afterAutospacing="1"/>
              <w:jc w:val="center"/>
              <w:rPr>
                <w:rFonts w:ascii="宋体" w:hAnsi="宋体" w:cs="宋体"/>
                <w:sz w:val="24"/>
              </w:rPr>
            </w:pPr>
            <w:r>
              <w:t xml:space="preserve">在难加工材料加工过程中，刀具磨损会造成切削力增大等异常变化。为避免刀具磨损后影响加工质量，通常通过工人凭经验进行停机判断。这种方法浪费时间，影响加工效率；此外当刀具磨损发现不及时则会造成零件质量问题。因此，通过对加工过程中的切削力信号的监测，从而实现刀具磨损后的自动停机或报警。 </w:t>
            </w:r>
          </w:p>
        </w:tc>
        <w:tc>
          <w:tcPr>
            <w:tcW w:w="3234" w:type="dxa"/>
            <w:vAlign w:val="center"/>
          </w:tcPr>
          <w:p>
            <w:pPr>
              <w:wordWrap w:val="0"/>
              <w:spacing w:before="100" w:beforeAutospacing="1" w:after="100" w:afterAutospacing="1"/>
              <w:rPr>
                <w:sz w:val="24"/>
              </w:rPr>
            </w:pPr>
            <w:r>
              <w:t xml:space="preserve">1.利用ARTIS等软件，实现对加工过程中的切削力的实时采集； </w:t>
            </w:r>
          </w:p>
          <w:p>
            <w:pPr>
              <w:wordWrap w:val="0"/>
              <w:spacing w:before="100" w:beforeAutospacing="1" w:after="100" w:afterAutospacing="1"/>
              <w:rPr>
                <w:rFonts w:ascii="宋体" w:hAnsi="宋体" w:cs="宋体"/>
                <w:sz w:val="24"/>
              </w:rPr>
            </w:pPr>
            <w:r>
              <w:t xml:space="preserve">2.分析刀具磨损量与切削力信号间的关系，确定合适的正常切削力的阈值，超过该阈值机床则会自动停机或报警。 </w:t>
            </w:r>
          </w:p>
        </w:tc>
        <w:tc>
          <w:tcPr>
            <w:tcW w:w="1374" w:type="dxa"/>
            <w:vAlign w:val="center"/>
          </w:tcPr>
          <w:p>
            <w:pPr>
              <w:wordWrap w:val="0"/>
              <w:spacing w:before="100" w:beforeAutospacing="1" w:after="100" w:afterAutospacing="1"/>
              <w:jc w:val="center"/>
              <w:rPr>
                <w:rFonts w:ascii="宋体" w:hAnsi="宋体" w:cs="宋体"/>
                <w:sz w:val="24"/>
              </w:rPr>
            </w:pPr>
            <w:r>
              <w:t xml:space="preserve">数控加工技术实验室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75" w:type="dxa"/>
            <w:vAlign w:val="center"/>
          </w:tcPr>
          <w:p>
            <w:pPr>
              <w:jc w:val="center"/>
              <w:rPr>
                <w:sz w:val="24"/>
              </w:rPr>
            </w:pPr>
            <w:r>
              <w:rPr>
                <w:rFonts w:hint="eastAsia"/>
                <w:sz w:val="24"/>
              </w:rPr>
              <w:t>6</w:t>
            </w:r>
          </w:p>
        </w:tc>
        <w:tc>
          <w:tcPr>
            <w:tcW w:w="2463" w:type="dxa"/>
            <w:vAlign w:val="center"/>
          </w:tcPr>
          <w:p>
            <w:pPr>
              <w:wordWrap w:val="0"/>
              <w:spacing w:before="100" w:beforeAutospacing="1" w:after="100" w:afterAutospacing="1"/>
              <w:jc w:val="center"/>
              <w:rPr>
                <w:rFonts w:ascii="宋体" w:hAnsi="宋体" w:cs="宋体"/>
                <w:sz w:val="24"/>
              </w:rPr>
            </w:pPr>
            <w:r>
              <w:t xml:space="preserve">工艺任务智能排程方法 </w:t>
            </w:r>
          </w:p>
        </w:tc>
        <w:tc>
          <w:tcPr>
            <w:tcW w:w="3375" w:type="dxa"/>
            <w:vAlign w:val="center"/>
          </w:tcPr>
          <w:p>
            <w:pPr>
              <w:wordWrap w:val="0"/>
              <w:spacing w:before="100" w:beforeAutospacing="1" w:after="100" w:afterAutospacing="1"/>
              <w:jc w:val="center"/>
              <w:rPr>
                <w:rFonts w:ascii="宋体" w:hAnsi="宋体" w:cs="宋体"/>
                <w:sz w:val="24"/>
              </w:rPr>
            </w:pPr>
            <w:r>
              <w:t xml:space="preserve">目前工艺任务来源途径不一、项目交叉、主管零件数据多、临时插单任务频率高，导致任务排程计划困难等问题。因此有必要对工艺任务的排程方法进行研究，减少项目主管任务排程协调工作量。 </w:t>
            </w:r>
          </w:p>
        </w:tc>
        <w:tc>
          <w:tcPr>
            <w:tcW w:w="3234" w:type="dxa"/>
            <w:vAlign w:val="center"/>
          </w:tcPr>
          <w:p>
            <w:pPr>
              <w:wordWrap w:val="0"/>
              <w:spacing w:before="100" w:beforeAutospacing="1" w:after="100" w:afterAutospacing="1"/>
              <w:ind w:left="360" w:hanging="360"/>
              <w:rPr>
                <w:sz w:val="24"/>
              </w:rPr>
            </w:pPr>
            <w:r>
              <w:t xml:space="preserve">1、研究工艺任务建立、发布、执行、归零流程模式； </w:t>
            </w:r>
          </w:p>
          <w:p>
            <w:pPr>
              <w:wordWrap w:val="0"/>
              <w:spacing w:before="100" w:beforeAutospacing="1" w:after="100" w:afterAutospacing="1"/>
              <w:ind w:left="360" w:hanging="360"/>
              <w:rPr>
                <w:rFonts w:ascii="宋体" w:hAnsi="宋体" w:cs="宋体"/>
                <w:sz w:val="24"/>
              </w:rPr>
            </w:pPr>
            <w:r>
              <w:t xml:space="preserve">2、制定工艺任务量的评定规则，根据任务量确定工艺任务排程的通用方法。 </w:t>
            </w:r>
          </w:p>
        </w:tc>
        <w:tc>
          <w:tcPr>
            <w:tcW w:w="1374" w:type="dxa"/>
            <w:vAlign w:val="center"/>
          </w:tcPr>
          <w:p>
            <w:pPr>
              <w:wordWrap w:val="0"/>
              <w:spacing w:before="100" w:beforeAutospacing="1" w:after="100" w:afterAutospacing="1"/>
              <w:jc w:val="center"/>
              <w:rPr>
                <w:rFonts w:ascii="宋体" w:hAnsi="宋体" w:cs="宋体"/>
                <w:sz w:val="24"/>
              </w:rPr>
            </w:pPr>
            <w:r>
              <w:t xml:space="preserve">数控加工技术实验室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675" w:type="dxa"/>
            <w:vAlign w:val="center"/>
          </w:tcPr>
          <w:p>
            <w:pPr>
              <w:jc w:val="center"/>
              <w:rPr>
                <w:sz w:val="24"/>
              </w:rPr>
            </w:pPr>
            <w:r>
              <w:rPr>
                <w:rFonts w:hint="eastAsia"/>
                <w:sz w:val="24"/>
              </w:rPr>
              <w:t>7</w:t>
            </w:r>
          </w:p>
        </w:tc>
        <w:tc>
          <w:tcPr>
            <w:tcW w:w="2463" w:type="dxa"/>
            <w:vAlign w:val="center"/>
          </w:tcPr>
          <w:p>
            <w:pPr>
              <w:spacing w:before="100" w:beforeAutospacing="1" w:after="100" w:afterAutospacing="1"/>
              <w:jc w:val="left"/>
              <w:rPr>
                <w:rFonts w:ascii="宋体" w:hAnsi="宋体" w:cs="宋体"/>
                <w:sz w:val="24"/>
              </w:rPr>
            </w:pPr>
            <w:r>
              <w:rPr>
                <w:rFonts w:hint="eastAsia" w:ascii="宋体" w:hAnsi="宋体" w:cs="宋体"/>
                <w:sz w:val="24"/>
              </w:rPr>
              <w:t>全复材主翼面盒段结构强度设计</w:t>
            </w:r>
          </w:p>
        </w:tc>
        <w:tc>
          <w:tcPr>
            <w:tcW w:w="3375" w:type="dxa"/>
            <w:vAlign w:val="center"/>
          </w:tcPr>
          <w:p>
            <w:pPr>
              <w:spacing w:before="100" w:beforeAutospacing="1" w:after="100" w:afterAutospacing="1"/>
              <w:jc w:val="left"/>
              <w:rPr>
                <w:rFonts w:ascii="宋体" w:hAnsi="宋体" w:cs="宋体"/>
                <w:sz w:val="24"/>
              </w:rPr>
            </w:pPr>
            <w:r>
              <w:rPr>
                <w:rFonts w:hint="eastAsia" w:ascii="宋体" w:hAnsi="宋体" w:cs="宋体"/>
                <w:sz w:val="24"/>
              </w:rPr>
              <w:t>复材已经大量应用于飞机结构设计，其比强度和比刚度高，但工艺特性较金属要求条件更多，复材的结构强度设计是现代飞机结构设计的基础。</w:t>
            </w:r>
          </w:p>
        </w:tc>
        <w:tc>
          <w:tcPr>
            <w:tcW w:w="3234" w:type="dxa"/>
            <w:vAlign w:val="center"/>
          </w:tcPr>
          <w:p>
            <w:r>
              <w:rPr>
                <w:rFonts w:hint="eastAsia"/>
              </w:rPr>
              <w:t>给定输入：</w:t>
            </w:r>
          </w:p>
          <w:p>
            <w:pPr>
              <w:pStyle w:val="13"/>
              <w:numPr>
                <w:ilvl w:val="0"/>
                <w:numId w:val="1"/>
              </w:numPr>
              <w:ind w:firstLineChars="0"/>
              <w:jc w:val="center"/>
            </w:pPr>
            <w:r>
              <w:rPr>
                <w:rFonts w:hint="eastAsia"/>
              </w:rPr>
              <w:t>展长3米、弦长500mm。</w:t>
            </w:r>
          </w:p>
          <w:p>
            <w:pPr>
              <w:pStyle w:val="13"/>
              <w:numPr>
                <w:ilvl w:val="0"/>
                <w:numId w:val="1"/>
              </w:numPr>
              <w:ind w:firstLineChars="0"/>
              <w:jc w:val="left"/>
            </w:pPr>
            <w:r>
              <w:rPr>
                <w:rFonts w:hint="eastAsia"/>
              </w:rPr>
              <w:t>典型翼型、翼型高度120mm。</w:t>
            </w:r>
          </w:p>
          <w:p>
            <w:pPr>
              <w:pStyle w:val="13"/>
              <w:numPr>
                <w:ilvl w:val="0"/>
                <w:numId w:val="1"/>
              </w:numPr>
              <w:ind w:firstLineChars="0"/>
            </w:pPr>
            <w:r>
              <w:rPr>
                <w:rFonts w:hint="eastAsia"/>
              </w:rPr>
              <w:t>自行高强度复材选材。</w:t>
            </w:r>
          </w:p>
          <w:p>
            <w:pPr>
              <w:pStyle w:val="13"/>
              <w:numPr>
                <w:ilvl w:val="0"/>
                <w:numId w:val="1"/>
              </w:numPr>
              <w:ind w:firstLineChars="0"/>
            </w:pPr>
            <w:r>
              <w:rPr>
                <w:rFonts w:hint="eastAsia"/>
              </w:rPr>
              <w:t>载荷总载7000N，展向和弦向按30度等腰三角形分布。</w:t>
            </w:r>
          </w:p>
          <w:p>
            <w:pPr>
              <w:pStyle w:val="13"/>
              <w:numPr>
                <w:ilvl w:val="0"/>
                <w:numId w:val="1"/>
              </w:numPr>
              <w:ind w:firstLineChars="0"/>
            </w:pPr>
            <w:r>
              <w:rPr>
                <w:rFonts w:hint="eastAsia"/>
              </w:rPr>
              <w:t>机身连接为两个框。</w:t>
            </w:r>
          </w:p>
          <w:p>
            <w:pPr>
              <w:pStyle w:val="13"/>
              <w:numPr>
                <w:ilvl w:val="0"/>
                <w:numId w:val="1"/>
              </w:numPr>
              <w:ind w:firstLineChars="0"/>
            </w:pPr>
            <w:r>
              <w:rPr>
                <w:rFonts w:hint="eastAsia"/>
              </w:rPr>
              <w:t>需考虑与前后缘连接。</w:t>
            </w:r>
          </w:p>
          <w:p>
            <w:pPr>
              <w:pStyle w:val="13"/>
              <w:numPr>
                <w:ilvl w:val="0"/>
                <w:numId w:val="1"/>
              </w:numPr>
              <w:ind w:firstLineChars="0"/>
            </w:pPr>
            <w:r>
              <w:rPr>
                <w:rFonts w:hint="eastAsia"/>
              </w:rPr>
              <w:t>安全系数取1。</w:t>
            </w:r>
          </w:p>
          <w:p>
            <w:pPr>
              <w:pStyle w:val="13"/>
              <w:numPr>
                <w:ilvl w:val="0"/>
                <w:numId w:val="1"/>
              </w:numPr>
              <w:ind w:firstLineChars="0"/>
            </w:pPr>
            <w:r>
              <w:rPr>
                <w:rFonts w:hint="eastAsia"/>
              </w:rPr>
              <w:t>（可选）盒段内3个肋之间装油，油压0.043MPa。</w:t>
            </w:r>
          </w:p>
          <w:p>
            <w:pPr>
              <w:pStyle w:val="13"/>
              <w:numPr>
                <w:ilvl w:val="0"/>
                <w:numId w:val="1"/>
              </w:numPr>
              <w:ind w:firstLineChars="0"/>
            </w:pPr>
            <w:r>
              <w:rPr>
                <w:rFonts w:hint="eastAsia"/>
              </w:rPr>
              <w:t>肋可以使用金属。</w:t>
            </w:r>
          </w:p>
          <w:p>
            <w:r>
              <w:rPr>
                <w:rFonts w:hint="eastAsia"/>
              </w:rPr>
              <w:t>本课题目标为：</w:t>
            </w:r>
          </w:p>
          <w:p>
            <w:pPr>
              <w:pStyle w:val="13"/>
              <w:ind w:left="360" w:firstLine="0" w:firstLineChars="0"/>
            </w:pPr>
            <w:r>
              <w:rPr>
                <w:rFonts w:hint="eastAsia"/>
              </w:rPr>
              <w:t>考虑成型工艺，完成主翼面的方案和详细初步设计。</w:t>
            </w:r>
          </w:p>
        </w:tc>
        <w:tc>
          <w:tcPr>
            <w:tcW w:w="1374" w:type="dxa"/>
            <w:vAlign w:val="center"/>
          </w:tcPr>
          <w:p>
            <w:pPr>
              <w:wordWrap w:val="0"/>
              <w:spacing w:before="100" w:beforeAutospacing="1" w:after="100" w:afterAutospacing="1"/>
              <w:jc w:val="center"/>
            </w:pPr>
            <w:r>
              <w:rPr>
                <w:rFonts w:hint="eastAsia"/>
              </w:rPr>
              <w:t>技术中心结构室</w:t>
            </w:r>
          </w:p>
        </w:tc>
      </w:tr>
    </w:tbl>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3C30"/>
    <w:multiLevelType w:val="multilevel"/>
    <w:tmpl w:val="25363C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C7"/>
    <w:rsid w:val="00004BB0"/>
    <w:rsid w:val="00021AF9"/>
    <w:rsid w:val="00022FA7"/>
    <w:rsid w:val="0007385E"/>
    <w:rsid w:val="000C71AA"/>
    <w:rsid w:val="000F4F88"/>
    <w:rsid w:val="001237A2"/>
    <w:rsid w:val="0014521E"/>
    <w:rsid w:val="001C5852"/>
    <w:rsid w:val="001D12CB"/>
    <w:rsid w:val="001E5FC4"/>
    <w:rsid w:val="0024191D"/>
    <w:rsid w:val="0024256D"/>
    <w:rsid w:val="002C0287"/>
    <w:rsid w:val="00356013"/>
    <w:rsid w:val="00371300"/>
    <w:rsid w:val="00374174"/>
    <w:rsid w:val="00386A52"/>
    <w:rsid w:val="00392C0A"/>
    <w:rsid w:val="003C4824"/>
    <w:rsid w:val="003E15EA"/>
    <w:rsid w:val="003E79F6"/>
    <w:rsid w:val="00474869"/>
    <w:rsid w:val="004D0327"/>
    <w:rsid w:val="00544877"/>
    <w:rsid w:val="00552F1B"/>
    <w:rsid w:val="00591CCA"/>
    <w:rsid w:val="005B462E"/>
    <w:rsid w:val="005C20B2"/>
    <w:rsid w:val="005C6D7C"/>
    <w:rsid w:val="005E0855"/>
    <w:rsid w:val="006543C1"/>
    <w:rsid w:val="00666244"/>
    <w:rsid w:val="006B649B"/>
    <w:rsid w:val="006C7853"/>
    <w:rsid w:val="006F2259"/>
    <w:rsid w:val="00721B80"/>
    <w:rsid w:val="0074171C"/>
    <w:rsid w:val="00775F59"/>
    <w:rsid w:val="00790E9C"/>
    <w:rsid w:val="007B0FD4"/>
    <w:rsid w:val="007E525C"/>
    <w:rsid w:val="00894204"/>
    <w:rsid w:val="008C1E32"/>
    <w:rsid w:val="00913CFB"/>
    <w:rsid w:val="00943644"/>
    <w:rsid w:val="009611C7"/>
    <w:rsid w:val="009D57F0"/>
    <w:rsid w:val="009F44B0"/>
    <w:rsid w:val="00A852C0"/>
    <w:rsid w:val="00A866A7"/>
    <w:rsid w:val="00AB381B"/>
    <w:rsid w:val="00B05F84"/>
    <w:rsid w:val="00B15DBA"/>
    <w:rsid w:val="00B17E50"/>
    <w:rsid w:val="00B242D1"/>
    <w:rsid w:val="00B73A41"/>
    <w:rsid w:val="00B845F5"/>
    <w:rsid w:val="00C26EA7"/>
    <w:rsid w:val="00CE1BDD"/>
    <w:rsid w:val="00CE4421"/>
    <w:rsid w:val="00DC4112"/>
    <w:rsid w:val="00EB7090"/>
    <w:rsid w:val="00EE3ECE"/>
    <w:rsid w:val="00F61232"/>
    <w:rsid w:val="00FB633E"/>
    <w:rsid w:val="00FB6349"/>
    <w:rsid w:val="00FC4F3C"/>
    <w:rsid w:val="6A0C692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uiPriority w:val="10"/>
    <w:pPr>
      <w:spacing w:before="240" w:after="60"/>
      <w:jc w:val="center"/>
      <w:outlineLvl w:val="0"/>
    </w:pPr>
    <w:rPr>
      <w:rFonts w:asciiTheme="majorHAnsi" w:hAnsiTheme="majorHAnsi" w:cstheme="majorBidi"/>
      <w:b/>
      <w:bCs/>
      <w:sz w:val="32"/>
      <w:szCs w:val="32"/>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标题 2 Char"/>
    <w:basedOn w:val="6"/>
    <w:link w:val="2"/>
    <w:uiPriority w:val="9"/>
    <w:rPr>
      <w:rFonts w:ascii="宋体" w:hAnsi="宋体" w:cs="宋体"/>
      <w:b/>
      <w:bCs/>
      <w:sz w:val="24"/>
      <w:szCs w:val="24"/>
    </w:rPr>
  </w:style>
  <w:style w:type="character" w:customStyle="1" w:styleId="10">
    <w:name w:val="页眉 Char"/>
    <w:basedOn w:val="6"/>
    <w:link w:val="4"/>
    <w:semiHidden/>
    <w:qFormat/>
    <w:uiPriority w:val="99"/>
    <w:rPr>
      <w:kern w:val="2"/>
      <w:sz w:val="18"/>
      <w:szCs w:val="18"/>
    </w:rPr>
  </w:style>
  <w:style w:type="character" w:customStyle="1" w:styleId="11">
    <w:name w:val="页脚 Char"/>
    <w:basedOn w:val="6"/>
    <w:link w:val="3"/>
    <w:semiHidden/>
    <w:uiPriority w:val="99"/>
    <w:rPr>
      <w:kern w:val="2"/>
      <w:sz w:val="18"/>
      <w:szCs w:val="18"/>
    </w:rPr>
  </w:style>
  <w:style w:type="character" w:customStyle="1" w:styleId="12">
    <w:name w:val="标题 Char"/>
    <w:basedOn w:val="6"/>
    <w:link w:val="5"/>
    <w:uiPriority w:val="10"/>
    <w:rPr>
      <w:rFonts w:asciiTheme="majorHAnsi" w:hAnsiTheme="majorHAnsi" w:cstheme="majorBidi"/>
      <w:b/>
      <w:bCs/>
      <w:kern w:val="2"/>
      <w:sz w:val="32"/>
      <w:szCs w:val="32"/>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cac</Company>
  <Pages>3</Pages>
  <Words>235</Words>
  <Characters>1345</Characters>
  <Lines>11</Lines>
  <Paragraphs>3</Paragraphs>
  <TotalTime>0</TotalTime>
  <ScaleCrop>false</ScaleCrop>
  <LinksUpToDate>false</LinksUpToDate>
  <CharactersWithSpaces>1577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2016-04-20T07:23:00Z</dcterms:created>
  <dc:creator>李飞</dc:creator>
  <cp:lastModifiedBy>Zhu Jianjun</cp:lastModifiedBy>
  <dcterms:modified xsi:type="dcterms:W3CDTF">2016-09-07T00:02:52Z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