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BC" w:rsidRPr="006622BC" w:rsidRDefault="006622BC" w:rsidP="006622B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6622BC">
        <w:rPr>
          <w:rFonts w:ascii="黑体" w:eastAsia="黑体" w:hAnsi="黑体" w:hint="eastAsia"/>
          <w:sz w:val="28"/>
          <w:szCs w:val="28"/>
        </w:rPr>
        <w:t>关于征集“后摩尔时代新器件基础研究”重大研究计划</w:t>
      </w:r>
      <w:r w:rsidRPr="006622BC">
        <w:rPr>
          <w:rFonts w:ascii="黑体" w:eastAsia="黑体" w:hAnsi="黑体"/>
          <w:sz w:val="28"/>
          <w:szCs w:val="28"/>
        </w:rPr>
        <w:t>2023年度项目指南建议的通知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面向我国产业发展的战略需求，针对后摩尔时代芯片发展中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本质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的算力瓶颈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问题，自然科学基金委</w:t>
      </w:r>
      <w:r w:rsidRPr="006622BC">
        <w:rPr>
          <w:rFonts w:ascii="宋体" w:eastAsia="宋体" w:hAnsi="宋体"/>
          <w:sz w:val="24"/>
          <w:szCs w:val="24"/>
        </w:rPr>
        <w:t>2019年启动了“后摩尔时代新器件基础研究”重大研究计划，旨在通过新材料、新原理、新结构、新器件和新架构的创新研究，突破</w:t>
      </w:r>
      <w:proofErr w:type="gramStart"/>
      <w:r w:rsidRPr="006622BC">
        <w:rPr>
          <w:rFonts w:ascii="宋体" w:eastAsia="宋体" w:hAnsi="宋体"/>
          <w:sz w:val="24"/>
          <w:szCs w:val="24"/>
        </w:rPr>
        <w:t>芯片算力瓶颈</w:t>
      </w:r>
      <w:proofErr w:type="gramEnd"/>
      <w:r w:rsidRPr="006622BC">
        <w:rPr>
          <w:rFonts w:ascii="宋体" w:eastAsia="宋体" w:hAnsi="宋体"/>
          <w:sz w:val="24"/>
          <w:szCs w:val="24"/>
        </w:rPr>
        <w:t>，提升我国芯片研究水平。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为进一步做好“后摩尔时代新器件基础研究”重大研究计划的项目立项和资助工作，经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本重大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研究计划指导专家组和管理工作组会议讨论决定，面向科技界征集</w:t>
      </w:r>
      <w:r w:rsidRPr="006622BC">
        <w:rPr>
          <w:rFonts w:ascii="宋体" w:eastAsia="宋体" w:hAnsi="宋体"/>
          <w:sz w:val="24"/>
          <w:szCs w:val="24"/>
        </w:rPr>
        <w:t>2023年度项目指南建议。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一、科学目标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本重大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研究计划面向未来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芯片算力问题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，聚焦芯片领域发展前沿，拟通过与信息、数理、工程材料、生命等多学科的交叉融合，在超低能耗信息处理新机理、载流子近似弹道输运新机理、具有高迁移率与高态密度的新材料、高密度集成新方法以及高能效非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冯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计算新架构等方面取得突破，研制出</w:t>
      </w:r>
      <w:r w:rsidRPr="006622BC">
        <w:rPr>
          <w:rFonts w:ascii="宋体" w:eastAsia="宋体" w:hAnsi="宋体"/>
          <w:sz w:val="24"/>
          <w:szCs w:val="24"/>
        </w:rPr>
        <w:t>1fJ以下开关能耗的超低功耗器件和超越硅基CMOS载流子输运速度极限的高性能器件，</w:t>
      </w:r>
      <w:proofErr w:type="gramStart"/>
      <w:r w:rsidRPr="006622BC">
        <w:rPr>
          <w:rFonts w:ascii="宋体" w:eastAsia="宋体" w:hAnsi="宋体"/>
          <w:sz w:val="24"/>
          <w:szCs w:val="24"/>
        </w:rPr>
        <w:t>实现算力提升</w:t>
      </w:r>
      <w:proofErr w:type="gramEnd"/>
      <w:r w:rsidRPr="006622BC">
        <w:rPr>
          <w:rFonts w:ascii="宋体" w:eastAsia="宋体" w:hAnsi="宋体"/>
          <w:sz w:val="24"/>
          <w:szCs w:val="24"/>
        </w:rPr>
        <w:t>2个数量级以上的非</w:t>
      </w:r>
      <w:proofErr w:type="gramStart"/>
      <w:r w:rsidRPr="006622BC">
        <w:rPr>
          <w:rFonts w:ascii="宋体" w:eastAsia="宋体" w:hAnsi="宋体"/>
          <w:sz w:val="24"/>
          <w:szCs w:val="24"/>
        </w:rPr>
        <w:t>冯</w:t>
      </w:r>
      <w:proofErr w:type="gramEnd"/>
      <w:r w:rsidRPr="006622BC">
        <w:rPr>
          <w:rFonts w:ascii="微软雅黑" w:eastAsia="微软雅黑" w:hAnsi="微软雅黑" w:cs="微软雅黑" w:hint="eastAsia"/>
          <w:sz w:val="24"/>
          <w:szCs w:val="24"/>
        </w:rPr>
        <w:t>∙</w:t>
      </w:r>
      <w:r w:rsidRPr="006622BC">
        <w:rPr>
          <w:rFonts w:ascii="宋体" w:eastAsia="宋体" w:hAnsi="宋体"/>
          <w:sz w:val="24"/>
          <w:szCs w:val="24"/>
        </w:rPr>
        <w:t>诺伊曼架构芯片，发展变革型基础器件、集成方法和计算架构，培养一支有国际影响力的研究队伍，提升我国在芯片领域的自主创新能力和国际地位。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二、核心科学问题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为实现总体科学目标，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本重大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研究计划围绕以下三个核心科学问题展开研究：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（一）器件能耗边界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及突破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机理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功耗墙是后摩尔时代限制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芯片算力提升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的本质问题之一。本计划将探寻传统</w:t>
      </w:r>
      <w:r w:rsidRPr="006622BC">
        <w:rPr>
          <w:rFonts w:ascii="宋体" w:eastAsia="宋体" w:hAnsi="宋体"/>
          <w:sz w:val="24"/>
          <w:szCs w:val="24"/>
        </w:rPr>
        <w:t>MOSFET器件的能耗边界，研究突破该边界的输运新机理，</w:t>
      </w:r>
      <w:proofErr w:type="gramStart"/>
      <w:r w:rsidRPr="006622BC">
        <w:rPr>
          <w:rFonts w:ascii="宋体" w:eastAsia="宋体" w:hAnsi="宋体"/>
          <w:sz w:val="24"/>
          <w:szCs w:val="24"/>
        </w:rPr>
        <w:t>实现极</w:t>
      </w:r>
      <w:proofErr w:type="gramEnd"/>
      <w:r w:rsidRPr="006622BC">
        <w:rPr>
          <w:rFonts w:ascii="宋体" w:eastAsia="宋体" w:hAnsi="宋体"/>
          <w:sz w:val="24"/>
          <w:szCs w:val="24"/>
        </w:rPr>
        <w:t>低功耗下的计算、存储和传输。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（二）逼近速度极限的输运机制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器件性能和集成架构是支撑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芯片算力提升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的基础。本计划将探索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实现长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自由程和高态密度材料体系和近似弹道输运的器件机理，逼近载流子弹道输运速度极</w:t>
      </w:r>
      <w:r w:rsidRPr="006622BC">
        <w:rPr>
          <w:rFonts w:ascii="宋体" w:eastAsia="宋体" w:hAnsi="宋体" w:hint="eastAsia"/>
          <w:sz w:val="24"/>
          <w:szCs w:val="24"/>
        </w:rPr>
        <w:lastRenderedPageBreak/>
        <w:t>限，解决集成环境下寄生效应造成的性能退化，实现超越传统</w:t>
      </w:r>
      <w:r w:rsidRPr="006622BC">
        <w:rPr>
          <w:rFonts w:ascii="宋体" w:eastAsia="宋体" w:hAnsi="宋体"/>
          <w:sz w:val="24"/>
          <w:szCs w:val="24"/>
        </w:rPr>
        <w:t>MOSFET的高性能器件。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（三）超越冯氏架构能效的机制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传统的计算架构与范式难以满足多样化的信息感知、处理与存储要求。本计划将探寻基于新型信息载体和编码方式的计算与存储单元，以此为基础构建突破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冯</w:t>
      </w:r>
      <w:proofErr w:type="gramEnd"/>
      <w:r w:rsidRPr="006622BC">
        <w:rPr>
          <w:rFonts w:ascii="微软雅黑" w:eastAsia="微软雅黑" w:hAnsi="微软雅黑" w:cs="微软雅黑" w:hint="eastAsia"/>
          <w:sz w:val="24"/>
          <w:szCs w:val="24"/>
        </w:rPr>
        <w:t>∙</w:t>
      </w:r>
      <w:r w:rsidRPr="006622BC">
        <w:rPr>
          <w:rFonts w:ascii="宋体" w:eastAsia="宋体" w:hAnsi="宋体"/>
          <w:sz w:val="24"/>
          <w:szCs w:val="24"/>
        </w:rPr>
        <w:t>诺依</w:t>
      </w:r>
      <w:proofErr w:type="gramStart"/>
      <w:r w:rsidRPr="006622BC">
        <w:rPr>
          <w:rFonts w:ascii="宋体" w:eastAsia="宋体" w:hAnsi="宋体"/>
          <w:sz w:val="24"/>
          <w:szCs w:val="24"/>
        </w:rPr>
        <w:t>曼</w:t>
      </w:r>
      <w:proofErr w:type="gramEnd"/>
      <w:r w:rsidRPr="006622BC">
        <w:rPr>
          <w:rFonts w:ascii="宋体" w:eastAsia="宋体" w:hAnsi="宋体"/>
          <w:sz w:val="24"/>
          <w:szCs w:val="24"/>
        </w:rPr>
        <w:t>架构能效瓶颈的新型计算架构与范式。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三、指南建议书主要内容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根据《国家自然科学基金重大研究计划管理办法》，重大研究计划项目包括培育项目、重点支持项目、集成项目和战略研究项目</w:t>
      </w:r>
      <w:r w:rsidRPr="006622BC">
        <w:rPr>
          <w:rFonts w:ascii="宋体" w:eastAsia="宋体" w:hAnsi="宋体"/>
          <w:sz w:val="24"/>
          <w:szCs w:val="24"/>
        </w:rPr>
        <w:t>4个亚类，本次指南建议征集主要针对重点支持项目亚类。重点支持项目是指研究方向属于国际前沿，创新性强，有很好的研究基础和研究队伍，有望取得重要研究成果，并且对重大研究计划目标的完成有重要作用的项目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指南建议书主要内容包括：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（一）对解决</w:t>
      </w:r>
      <w:proofErr w:type="gramStart"/>
      <w:r w:rsidRPr="006622BC">
        <w:rPr>
          <w:rFonts w:ascii="宋体" w:eastAsia="宋体" w:hAnsi="宋体" w:hint="eastAsia"/>
          <w:sz w:val="24"/>
          <w:szCs w:val="24"/>
        </w:rPr>
        <w:t>本重大</w:t>
      </w:r>
      <w:proofErr w:type="gramEnd"/>
      <w:r w:rsidRPr="006622BC">
        <w:rPr>
          <w:rFonts w:ascii="宋体" w:eastAsia="宋体" w:hAnsi="宋体" w:hint="eastAsia"/>
          <w:sz w:val="24"/>
          <w:szCs w:val="24"/>
        </w:rPr>
        <w:t>研究计划核心科学问题、实现总体目标的贡献；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（二）围绕解决核心科学问题拟开展的主要研究内容；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（三）预期可能取得的突破性进展及其可行性论证；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（四）国内外在相关方向的研究现状和水平。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四、近三年已发布指南方向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</w:t>
      </w:r>
      <w:r w:rsidRPr="006622BC">
        <w:rPr>
          <w:rFonts w:ascii="宋体" w:eastAsia="宋体" w:hAnsi="宋体" w:hint="eastAsia"/>
          <w:sz w:val="24"/>
          <w:szCs w:val="24"/>
        </w:rPr>
        <w:t>（一）</w:t>
      </w:r>
      <w:r w:rsidRPr="006622BC">
        <w:rPr>
          <w:rFonts w:ascii="宋体" w:eastAsia="宋体" w:hAnsi="宋体"/>
          <w:sz w:val="24"/>
          <w:szCs w:val="24"/>
        </w:rPr>
        <w:t>2020年度项目指南：http://www.nsfc.gov.cn/publish/portal0/tab568/info77917.htm；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</w:t>
      </w:r>
      <w:r w:rsidRPr="006622BC">
        <w:rPr>
          <w:rFonts w:ascii="宋体" w:eastAsia="宋体" w:hAnsi="宋体" w:hint="eastAsia"/>
          <w:sz w:val="24"/>
          <w:szCs w:val="24"/>
        </w:rPr>
        <w:t>（二）</w:t>
      </w:r>
      <w:r w:rsidRPr="006622BC">
        <w:rPr>
          <w:rFonts w:ascii="宋体" w:eastAsia="宋体" w:hAnsi="宋体"/>
          <w:sz w:val="24"/>
          <w:szCs w:val="24"/>
        </w:rPr>
        <w:t>2021年度项目指南：http://www.nsfc.gov.cn/publish/portal0/tab948/info79814.htm；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</w:t>
      </w:r>
      <w:r w:rsidRPr="006622BC">
        <w:rPr>
          <w:rFonts w:ascii="宋体" w:eastAsia="宋体" w:hAnsi="宋体" w:hint="eastAsia"/>
          <w:sz w:val="24"/>
          <w:szCs w:val="24"/>
        </w:rPr>
        <w:t>（三）</w:t>
      </w:r>
      <w:r w:rsidRPr="006622BC">
        <w:rPr>
          <w:rFonts w:ascii="宋体" w:eastAsia="宋体" w:hAnsi="宋体"/>
          <w:sz w:val="24"/>
          <w:szCs w:val="24"/>
        </w:rPr>
        <w:t>2022年度项目指南：https://www.nsfc.gov.cn/publish/portal0/tab948/info83564.htm。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五、指南建议书提交方式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请于</w:t>
      </w:r>
      <w:r w:rsidRPr="006622BC">
        <w:rPr>
          <w:rFonts w:ascii="宋体" w:eastAsia="宋体" w:hAnsi="宋体"/>
          <w:sz w:val="24"/>
          <w:szCs w:val="24"/>
        </w:rPr>
        <w:t>2022年 10 月12日前通过Email将“指南建议书”电子版（见附件）发至信息科学部四处联系人邮箱。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联系人：唐华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邮箱：</w:t>
      </w:r>
      <w:r w:rsidRPr="006622BC">
        <w:rPr>
          <w:rFonts w:ascii="宋体" w:eastAsia="宋体" w:hAnsi="宋体"/>
          <w:sz w:val="24"/>
          <w:szCs w:val="24"/>
        </w:rPr>
        <w:t>tanghua@nsfc.gov.cn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联系电话：</w:t>
      </w:r>
      <w:r w:rsidRPr="006622BC">
        <w:rPr>
          <w:rFonts w:ascii="宋体" w:eastAsia="宋体" w:hAnsi="宋体"/>
          <w:sz w:val="24"/>
          <w:szCs w:val="24"/>
        </w:rPr>
        <w:t>010-62327351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/>
          <w:sz w:val="24"/>
          <w:szCs w:val="24"/>
        </w:rPr>
        <w:t xml:space="preserve"> </w:t>
      </w:r>
    </w:p>
    <w:p w:rsidR="006622BC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80A06" w:rsidRPr="006622BC" w:rsidRDefault="006622BC" w:rsidP="006622BC">
      <w:pPr>
        <w:spacing w:line="360" w:lineRule="auto"/>
        <w:rPr>
          <w:rFonts w:ascii="宋体" w:eastAsia="宋体" w:hAnsi="宋体"/>
          <w:sz w:val="24"/>
          <w:szCs w:val="24"/>
        </w:rPr>
      </w:pPr>
      <w:r w:rsidRPr="006622BC">
        <w:rPr>
          <w:rFonts w:ascii="宋体" w:eastAsia="宋体" w:hAnsi="宋体" w:hint="eastAsia"/>
          <w:sz w:val="24"/>
          <w:szCs w:val="24"/>
        </w:rPr>
        <w:t xml:space="preserve">　　附件：“后摩尔时代新器件基础研究”重大研究计划</w:t>
      </w:r>
      <w:r w:rsidRPr="006622BC">
        <w:rPr>
          <w:rFonts w:ascii="宋体" w:eastAsia="宋体" w:hAnsi="宋体"/>
          <w:sz w:val="24"/>
          <w:szCs w:val="24"/>
        </w:rPr>
        <w:t>2023年度项目指南建议书模板</w:t>
      </w:r>
    </w:p>
    <w:sectPr w:rsidR="00580A06" w:rsidRPr="0066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BC"/>
    <w:rsid w:val="00177596"/>
    <w:rsid w:val="00327ACE"/>
    <w:rsid w:val="003643BE"/>
    <w:rsid w:val="00534B4E"/>
    <w:rsid w:val="006622BC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7273"/>
  <w15:chartTrackingRefBased/>
  <w15:docId w15:val="{0C58A883-0263-4DE9-ACAF-A1FBF82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23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1373</Characters>
  <Application>Microsoft Office Word</Application>
  <DocSecurity>0</DocSecurity>
  <Lines>11</Lines>
  <Paragraphs>3</Paragraphs>
  <ScaleCrop>false</ScaleCrop>
  <Company>CHINA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2022-09-14T06:31:00Z</dcterms:created>
  <dcterms:modified xsi:type="dcterms:W3CDTF">2022-09-14T06:36:00Z</dcterms:modified>
</cp:coreProperties>
</file>